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CD236" w14:textId="6A28B0EE" w:rsidR="003436FE" w:rsidRPr="002B370E" w:rsidRDefault="003436FE">
      <w:pPr>
        <w:pStyle w:val="Subtitle"/>
        <w:spacing w:after="240"/>
        <w:rPr>
          <w:lang w:val="en-GB"/>
        </w:rPr>
      </w:pPr>
      <w:r w:rsidRPr="002B370E">
        <w:rPr>
          <w:lang w:val="en-GB"/>
        </w:rPr>
        <w:t>REFERENCE:</w:t>
      </w:r>
      <w:r w:rsidR="000D75D5">
        <w:rPr>
          <w:lang w:val="en-GB"/>
        </w:rPr>
        <w:t xml:space="preserve"> SYM</w:t>
      </w:r>
      <w:r w:rsidR="0048757D">
        <w:rPr>
          <w:lang w:val="en-GB"/>
        </w:rPr>
        <w:t>-</w:t>
      </w:r>
      <w:r w:rsidR="008E3D9F">
        <w:rPr>
          <w:lang w:val="en-GB"/>
        </w:rPr>
        <w:t>BIT</w:t>
      </w:r>
      <w:r w:rsidR="000D75D5">
        <w:rPr>
          <w:lang w:val="en-GB"/>
        </w:rPr>
        <w:t>-</w:t>
      </w:r>
      <w:r w:rsidR="0048757D">
        <w:rPr>
          <w:lang w:val="en-GB"/>
        </w:rPr>
        <w:t>1</w:t>
      </w:r>
    </w:p>
    <w:p w14:paraId="1FE94619"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5332F6E3" w14:textId="77777777"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hyperlink r:id="rId8" w:history="1">
        <w:r w:rsidR="00996707" w:rsidRPr="005D1583">
          <w:rPr>
            <w:rStyle w:val="Hyperlink"/>
            <w:sz w:val="22"/>
            <w:szCs w:val="22"/>
            <w:lang w:val="en-GB"/>
          </w:rPr>
          <w:t>http://ec.europa.eu/europeaid/prag/document.do</w:t>
        </w:r>
      </w:hyperlink>
      <w:r w:rsidR="00996707">
        <w:rPr>
          <w:sz w:val="22"/>
          <w:szCs w:val="22"/>
          <w:lang w:val="en-GB"/>
        </w:rPr>
        <w:t xml:space="preserve"> </w:t>
      </w:r>
      <w:r w:rsidRPr="002B370E">
        <w:rPr>
          <w:sz w:val="22"/>
          <w:szCs w:val="22"/>
          <w:lang w:val="en-GB"/>
        </w:rPr>
        <w:t xml:space="preserve">). </w:t>
      </w:r>
    </w:p>
    <w:p w14:paraId="65363914"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6C38B391"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564DB2D1" w14:textId="77777777"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75C66571" w14:textId="77777777" w:rsidTr="00010683">
        <w:tc>
          <w:tcPr>
            <w:tcW w:w="4820" w:type="dxa"/>
            <w:tcBorders>
              <w:bottom w:val="nil"/>
            </w:tcBorders>
          </w:tcPr>
          <w:p w14:paraId="7DD1E08D" w14:textId="77777777" w:rsidR="003436FE" w:rsidRPr="002B370E" w:rsidRDefault="003436FE">
            <w:pPr>
              <w:rPr>
                <w:sz w:val="22"/>
                <w:szCs w:val="22"/>
              </w:rPr>
            </w:pPr>
          </w:p>
        </w:tc>
        <w:tc>
          <w:tcPr>
            <w:tcW w:w="1972" w:type="dxa"/>
            <w:shd w:val="pct10" w:color="auto" w:fill="FFFFFF"/>
          </w:tcPr>
          <w:p w14:paraId="77A07F40"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633EA82B" w14:textId="77777777" w:rsidR="003436FE" w:rsidRPr="002B370E" w:rsidRDefault="003436FE">
            <w:pPr>
              <w:jc w:val="center"/>
              <w:rPr>
                <w:b/>
                <w:sz w:val="22"/>
                <w:szCs w:val="22"/>
              </w:rPr>
            </w:pPr>
            <w:r w:rsidRPr="002B370E">
              <w:rPr>
                <w:b/>
                <w:sz w:val="22"/>
                <w:szCs w:val="22"/>
              </w:rPr>
              <w:t>TIME*</w:t>
            </w:r>
          </w:p>
        </w:tc>
      </w:tr>
      <w:tr w:rsidR="003436FE" w:rsidRPr="002B370E" w14:paraId="5FE9A85F" w14:textId="77777777" w:rsidTr="00010683">
        <w:tc>
          <w:tcPr>
            <w:tcW w:w="4820" w:type="dxa"/>
            <w:shd w:val="pct10" w:color="auto" w:fill="FFFFFF"/>
          </w:tcPr>
          <w:p w14:paraId="572E8880"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14:paraId="2F37786F" w14:textId="2DF5D300" w:rsidR="003436FE" w:rsidRPr="002B370E" w:rsidRDefault="00090314">
            <w:pPr>
              <w:spacing w:before="120" w:after="120"/>
              <w:jc w:val="center"/>
              <w:rPr>
                <w:sz w:val="22"/>
                <w:szCs w:val="22"/>
              </w:rPr>
            </w:pPr>
            <w:r>
              <w:rPr>
                <w:sz w:val="22"/>
                <w:szCs w:val="22"/>
              </w:rPr>
              <w:t>1</w:t>
            </w:r>
            <w:r w:rsidR="008422E3">
              <w:rPr>
                <w:sz w:val="22"/>
                <w:szCs w:val="22"/>
              </w:rPr>
              <w:t>0</w:t>
            </w:r>
            <w:r w:rsidR="00951A3B">
              <w:rPr>
                <w:sz w:val="22"/>
                <w:szCs w:val="22"/>
              </w:rPr>
              <w:t>.09.2018</w:t>
            </w:r>
          </w:p>
        </w:tc>
        <w:tc>
          <w:tcPr>
            <w:tcW w:w="1572" w:type="dxa"/>
          </w:tcPr>
          <w:p w14:paraId="7E13FD4F" w14:textId="094C522E" w:rsidR="003436FE" w:rsidRPr="002B370E" w:rsidRDefault="00951A3B">
            <w:pPr>
              <w:spacing w:before="120" w:after="120"/>
              <w:jc w:val="center"/>
              <w:rPr>
                <w:sz w:val="22"/>
                <w:szCs w:val="22"/>
              </w:rPr>
            </w:pPr>
            <w:r>
              <w:rPr>
                <w:sz w:val="22"/>
                <w:szCs w:val="22"/>
              </w:rPr>
              <w:t>1</w:t>
            </w:r>
            <w:r w:rsidR="0092186A">
              <w:rPr>
                <w:sz w:val="22"/>
                <w:szCs w:val="22"/>
              </w:rPr>
              <w:t>5</w:t>
            </w:r>
            <w:r>
              <w:rPr>
                <w:sz w:val="22"/>
                <w:szCs w:val="22"/>
              </w:rPr>
              <w:t>:00</w:t>
            </w:r>
          </w:p>
        </w:tc>
      </w:tr>
      <w:tr w:rsidR="003436FE" w:rsidRPr="002B370E" w14:paraId="74C4119F" w14:textId="77777777" w:rsidTr="00010683">
        <w:tc>
          <w:tcPr>
            <w:tcW w:w="4820" w:type="dxa"/>
            <w:shd w:val="pct10" w:color="auto" w:fill="FFFFFF"/>
          </w:tcPr>
          <w:p w14:paraId="21ED3B46"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2507C273" w14:textId="14D22728" w:rsidR="003436FE" w:rsidRPr="002B370E" w:rsidRDefault="008422E3">
            <w:pPr>
              <w:spacing w:before="120" w:after="120"/>
              <w:jc w:val="center"/>
              <w:rPr>
                <w:sz w:val="22"/>
                <w:szCs w:val="22"/>
              </w:rPr>
            </w:pPr>
            <w:r>
              <w:rPr>
                <w:sz w:val="22"/>
                <w:szCs w:val="22"/>
              </w:rPr>
              <w:t>20</w:t>
            </w:r>
            <w:r w:rsidR="00951A3B">
              <w:rPr>
                <w:sz w:val="22"/>
                <w:szCs w:val="22"/>
              </w:rPr>
              <w:t>.09.2018</w:t>
            </w:r>
          </w:p>
        </w:tc>
        <w:tc>
          <w:tcPr>
            <w:tcW w:w="1572" w:type="dxa"/>
          </w:tcPr>
          <w:p w14:paraId="35BB7D56"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01AA9700" w14:textId="77777777" w:rsidTr="00010683">
        <w:tc>
          <w:tcPr>
            <w:tcW w:w="4820" w:type="dxa"/>
            <w:shd w:val="pct10" w:color="auto" w:fill="FFFFFF"/>
          </w:tcPr>
          <w:p w14:paraId="20E5089C"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0D88084A" w14:textId="77777777" w:rsidR="003436FE" w:rsidRPr="002B370E" w:rsidRDefault="00FF3290">
            <w:pPr>
              <w:spacing w:before="120" w:after="120"/>
              <w:jc w:val="center"/>
              <w:rPr>
                <w:sz w:val="22"/>
                <w:szCs w:val="22"/>
              </w:rPr>
            </w:pPr>
            <w:r>
              <w:rPr>
                <w:sz w:val="22"/>
                <w:szCs w:val="22"/>
              </w:rPr>
              <w:t>01</w:t>
            </w:r>
            <w:r w:rsidR="00951A3B">
              <w:rPr>
                <w:sz w:val="22"/>
                <w:szCs w:val="22"/>
              </w:rPr>
              <w:t>.</w:t>
            </w:r>
            <w:r>
              <w:rPr>
                <w:sz w:val="22"/>
                <w:szCs w:val="22"/>
              </w:rPr>
              <w:t>1</w:t>
            </w:r>
            <w:r w:rsidR="00951A3B">
              <w:rPr>
                <w:sz w:val="22"/>
                <w:szCs w:val="22"/>
              </w:rPr>
              <w:t>0.2018</w:t>
            </w:r>
          </w:p>
        </w:tc>
        <w:tc>
          <w:tcPr>
            <w:tcW w:w="1572" w:type="dxa"/>
          </w:tcPr>
          <w:p w14:paraId="36B2BA87" w14:textId="77777777" w:rsidR="003436FE" w:rsidRPr="002B370E" w:rsidRDefault="00FF3290">
            <w:pPr>
              <w:spacing w:before="120" w:after="120"/>
              <w:jc w:val="center"/>
              <w:rPr>
                <w:sz w:val="22"/>
                <w:szCs w:val="22"/>
              </w:rPr>
            </w:pPr>
            <w:r>
              <w:rPr>
                <w:sz w:val="22"/>
                <w:szCs w:val="22"/>
              </w:rPr>
              <w:t>12</w:t>
            </w:r>
            <w:r w:rsidR="00951A3B">
              <w:rPr>
                <w:sz w:val="22"/>
                <w:szCs w:val="22"/>
              </w:rPr>
              <w:t>:00</w:t>
            </w:r>
          </w:p>
        </w:tc>
      </w:tr>
      <w:tr w:rsidR="003436FE" w:rsidRPr="002B370E" w14:paraId="294B3D44" w14:textId="77777777" w:rsidTr="00010683">
        <w:tc>
          <w:tcPr>
            <w:tcW w:w="4820" w:type="dxa"/>
            <w:shd w:val="pct10" w:color="auto" w:fill="FFFFFF"/>
          </w:tcPr>
          <w:p w14:paraId="086F9932"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3C54BD80" w14:textId="77777777" w:rsidR="003436FE" w:rsidRPr="002B370E" w:rsidRDefault="00FF3290">
            <w:pPr>
              <w:spacing w:before="120" w:after="120"/>
              <w:jc w:val="center"/>
              <w:rPr>
                <w:sz w:val="22"/>
                <w:szCs w:val="22"/>
              </w:rPr>
            </w:pPr>
            <w:r>
              <w:rPr>
                <w:sz w:val="22"/>
                <w:szCs w:val="22"/>
              </w:rPr>
              <w:t>05</w:t>
            </w:r>
            <w:r w:rsidR="00951A3B">
              <w:rPr>
                <w:sz w:val="22"/>
                <w:szCs w:val="22"/>
              </w:rPr>
              <w:t>.</w:t>
            </w:r>
            <w:r>
              <w:rPr>
                <w:sz w:val="22"/>
                <w:szCs w:val="22"/>
              </w:rPr>
              <w:t>10</w:t>
            </w:r>
            <w:r w:rsidR="00951A3B">
              <w:rPr>
                <w:sz w:val="22"/>
                <w:szCs w:val="22"/>
              </w:rPr>
              <w:t>.2018</w:t>
            </w:r>
            <w:r w:rsidR="003436FE" w:rsidRPr="002B370E">
              <w:rPr>
                <w:sz w:val="22"/>
                <w:szCs w:val="22"/>
              </w:rPr>
              <w:t xml:space="preserve"> </w:t>
            </w:r>
            <w:r w:rsidR="003436FE" w:rsidRPr="002B370E">
              <w:rPr>
                <w:sz w:val="22"/>
                <w:szCs w:val="22"/>
                <w:vertAlign w:val="superscript"/>
              </w:rPr>
              <w:sym w:font="Monotype Sorts" w:char="F027"/>
            </w:r>
          </w:p>
        </w:tc>
        <w:tc>
          <w:tcPr>
            <w:tcW w:w="1572" w:type="dxa"/>
          </w:tcPr>
          <w:p w14:paraId="19F6BA06"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33E93E92" w14:textId="77777777" w:rsidTr="00010683">
        <w:tc>
          <w:tcPr>
            <w:tcW w:w="4820" w:type="dxa"/>
            <w:shd w:val="pct10" w:color="auto" w:fill="FFFFFF"/>
          </w:tcPr>
          <w:p w14:paraId="467A1F50" w14:textId="77777777"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14:paraId="56101016" w14:textId="77777777" w:rsidR="003436FE" w:rsidRPr="002B370E" w:rsidRDefault="00951A3B">
            <w:pPr>
              <w:spacing w:before="120" w:after="120"/>
              <w:jc w:val="center"/>
              <w:rPr>
                <w:sz w:val="22"/>
                <w:szCs w:val="22"/>
              </w:rPr>
            </w:pPr>
            <w:r>
              <w:rPr>
                <w:sz w:val="22"/>
                <w:szCs w:val="22"/>
              </w:rPr>
              <w:t>0</w:t>
            </w:r>
            <w:r w:rsidR="00FF3290">
              <w:rPr>
                <w:sz w:val="22"/>
                <w:szCs w:val="22"/>
              </w:rPr>
              <w:t>8</w:t>
            </w:r>
            <w:r>
              <w:rPr>
                <w:sz w:val="22"/>
                <w:szCs w:val="22"/>
              </w:rPr>
              <w:t>.</w:t>
            </w:r>
            <w:r w:rsidR="00FF3290">
              <w:rPr>
                <w:sz w:val="22"/>
                <w:szCs w:val="22"/>
              </w:rPr>
              <w:t>10</w:t>
            </w:r>
            <w:r>
              <w:rPr>
                <w:sz w:val="22"/>
                <w:szCs w:val="22"/>
              </w:rPr>
              <w:t>.2018</w:t>
            </w:r>
            <w:r w:rsidR="003436FE" w:rsidRPr="002B370E">
              <w:rPr>
                <w:sz w:val="22"/>
                <w:szCs w:val="22"/>
              </w:rPr>
              <w:t xml:space="preserve"> </w:t>
            </w:r>
            <w:r w:rsidR="003436FE" w:rsidRPr="002B370E">
              <w:rPr>
                <w:sz w:val="22"/>
                <w:szCs w:val="22"/>
                <w:vertAlign w:val="superscript"/>
              </w:rPr>
              <w:sym w:font="Monotype Sorts" w:char="F027"/>
            </w:r>
          </w:p>
        </w:tc>
        <w:tc>
          <w:tcPr>
            <w:tcW w:w="1572" w:type="dxa"/>
          </w:tcPr>
          <w:p w14:paraId="4145F58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35D5EB92" w14:textId="77777777" w:rsidTr="00010683">
        <w:tc>
          <w:tcPr>
            <w:tcW w:w="4820" w:type="dxa"/>
            <w:shd w:val="pct10" w:color="auto" w:fill="FFFFFF"/>
          </w:tcPr>
          <w:p w14:paraId="16122A8D" w14:textId="77777777" w:rsidR="003436FE" w:rsidRPr="002B370E" w:rsidRDefault="003436FE">
            <w:pPr>
              <w:spacing w:before="120" w:after="120"/>
              <w:rPr>
                <w:b/>
                <w:sz w:val="22"/>
                <w:szCs w:val="22"/>
              </w:rPr>
            </w:pPr>
            <w:r w:rsidRPr="002B370E">
              <w:rPr>
                <w:b/>
                <w:sz w:val="22"/>
                <w:szCs w:val="22"/>
              </w:rPr>
              <w:t>Contract signature</w:t>
            </w:r>
          </w:p>
        </w:tc>
        <w:tc>
          <w:tcPr>
            <w:tcW w:w="1972" w:type="dxa"/>
          </w:tcPr>
          <w:p w14:paraId="51F72FF3" w14:textId="77777777" w:rsidR="003436FE" w:rsidRPr="002B370E" w:rsidRDefault="00FF3290">
            <w:pPr>
              <w:spacing w:before="120" w:after="120"/>
              <w:jc w:val="center"/>
              <w:rPr>
                <w:sz w:val="22"/>
                <w:szCs w:val="22"/>
              </w:rPr>
            </w:pPr>
            <w:r>
              <w:rPr>
                <w:sz w:val="22"/>
                <w:szCs w:val="22"/>
              </w:rPr>
              <w:t>0</w:t>
            </w:r>
            <w:r w:rsidR="00C52D49">
              <w:rPr>
                <w:sz w:val="22"/>
                <w:szCs w:val="22"/>
              </w:rPr>
              <w:t>9</w:t>
            </w:r>
            <w:r w:rsidR="00951A3B">
              <w:rPr>
                <w:sz w:val="22"/>
                <w:szCs w:val="22"/>
              </w:rPr>
              <w:t>.</w:t>
            </w:r>
            <w:r>
              <w:rPr>
                <w:sz w:val="22"/>
                <w:szCs w:val="22"/>
              </w:rPr>
              <w:t>10</w:t>
            </w:r>
            <w:r w:rsidR="00951A3B">
              <w:rPr>
                <w:sz w:val="22"/>
                <w:szCs w:val="22"/>
              </w:rPr>
              <w:t xml:space="preserve">.2018 </w:t>
            </w:r>
            <w:r w:rsidR="003436FE" w:rsidRPr="002B370E">
              <w:rPr>
                <w:sz w:val="22"/>
                <w:szCs w:val="22"/>
                <w:vertAlign w:val="superscript"/>
              </w:rPr>
              <w:sym w:font="Monotype Sorts" w:char="F027"/>
            </w:r>
          </w:p>
        </w:tc>
        <w:tc>
          <w:tcPr>
            <w:tcW w:w="1572" w:type="dxa"/>
          </w:tcPr>
          <w:p w14:paraId="12F7571F"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64B5A3C7" w14:textId="77777777" w:rsidTr="00010683">
        <w:tc>
          <w:tcPr>
            <w:tcW w:w="4820" w:type="dxa"/>
            <w:shd w:val="pct10" w:color="auto" w:fill="FFFFFF"/>
          </w:tcPr>
          <w:p w14:paraId="6ABB196D" w14:textId="77777777"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14:paraId="26CB5F30" w14:textId="77777777" w:rsidR="003436FE" w:rsidRPr="002B370E" w:rsidRDefault="00C52D49">
            <w:pPr>
              <w:spacing w:before="120" w:after="120"/>
              <w:jc w:val="center"/>
              <w:rPr>
                <w:sz w:val="22"/>
                <w:szCs w:val="22"/>
              </w:rPr>
            </w:pPr>
            <w:r>
              <w:rPr>
                <w:sz w:val="22"/>
                <w:szCs w:val="22"/>
              </w:rPr>
              <w:t>10</w:t>
            </w:r>
            <w:r w:rsidR="00951A3B">
              <w:rPr>
                <w:sz w:val="22"/>
                <w:szCs w:val="22"/>
              </w:rPr>
              <w:t>.</w:t>
            </w:r>
            <w:r>
              <w:rPr>
                <w:sz w:val="22"/>
                <w:szCs w:val="22"/>
              </w:rPr>
              <w:t>10</w:t>
            </w:r>
            <w:r w:rsidR="00951A3B">
              <w:rPr>
                <w:sz w:val="22"/>
                <w:szCs w:val="22"/>
              </w:rPr>
              <w:t>.2018</w:t>
            </w:r>
            <w:r w:rsidR="003436FE" w:rsidRPr="002B370E">
              <w:rPr>
                <w:sz w:val="22"/>
                <w:szCs w:val="22"/>
              </w:rPr>
              <w:t xml:space="preserve"> </w:t>
            </w:r>
            <w:r w:rsidR="003436FE" w:rsidRPr="002B370E">
              <w:rPr>
                <w:sz w:val="22"/>
                <w:szCs w:val="22"/>
                <w:vertAlign w:val="superscript"/>
              </w:rPr>
              <w:sym w:font="Monotype Sorts" w:char="F027"/>
            </w:r>
          </w:p>
        </w:tc>
        <w:tc>
          <w:tcPr>
            <w:tcW w:w="1572" w:type="dxa"/>
          </w:tcPr>
          <w:p w14:paraId="630F8030" w14:textId="77777777" w:rsidR="003436FE" w:rsidRPr="002B370E" w:rsidRDefault="003436FE">
            <w:pPr>
              <w:spacing w:before="120" w:after="120"/>
              <w:jc w:val="center"/>
              <w:rPr>
                <w:sz w:val="22"/>
                <w:szCs w:val="22"/>
              </w:rPr>
            </w:pPr>
            <w:r w:rsidRPr="002B370E">
              <w:rPr>
                <w:sz w:val="22"/>
                <w:szCs w:val="22"/>
              </w:rPr>
              <w:t>-</w:t>
            </w:r>
          </w:p>
        </w:tc>
      </w:tr>
    </w:tbl>
    <w:p w14:paraId="2758EA2D" w14:textId="77777777" w:rsidR="003436FE" w:rsidRPr="002B370E" w:rsidRDefault="003436FE" w:rsidP="003436FE">
      <w:pPr>
        <w:spacing w:before="120" w:after="240"/>
        <w:rPr>
          <w:b/>
          <w:sz w:val="22"/>
          <w:szCs w:val="22"/>
        </w:rPr>
      </w:pPr>
      <w:r w:rsidRPr="002B370E">
        <w:rPr>
          <w:b/>
          <w:sz w:val="22"/>
          <w:szCs w:val="22"/>
        </w:rPr>
        <w:t xml:space="preserve">* All times are in the time zone of the country of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14:paraId="191C94DF" w14:textId="77777777"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1"/>
    </w:p>
    <w:p w14:paraId="7887DE4A"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w:t>
      </w:r>
      <w:proofErr w:type="gramStart"/>
      <w:r w:rsidR="000955FE">
        <w:rPr>
          <w:sz w:val="22"/>
          <w:szCs w:val="22"/>
        </w:rPr>
        <w:t>notice</w:t>
      </w:r>
      <w:proofErr w:type="gramEnd"/>
      <w:r w:rsidR="000955FE">
        <w:rPr>
          <w:sz w:val="22"/>
          <w:szCs w:val="22"/>
        </w:rPr>
        <w:t xml:space="preserve">. </w:t>
      </w:r>
    </w:p>
    <w:p w14:paraId="0F67AE54" w14:textId="77777777" w:rsidR="003436FE" w:rsidRPr="002B370E" w:rsidRDefault="003436FE" w:rsidP="00F80338">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EE5A83">
        <w:rPr>
          <w:sz w:val="22"/>
          <w:szCs w:val="22"/>
        </w:rPr>
        <w:t xml:space="preserve"> (EU restrictive measures),</w:t>
      </w:r>
      <w:r w:rsidRPr="002B370E">
        <w:rPr>
          <w:sz w:val="22"/>
          <w:szCs w:val="22"/>
        </w:rPr>
        <w:t xml:space="preserve"> 2.</w:t>
      </w:r>
      <w:r w:rsidR="00C330E1">
        <w:rPr>
          <w:sz w:val="22"/>
          <w:szCs w:val="22"/>
        </w:rPr>
        <w:t>6</w:t>
      </w:r>
      <w:r w:rsidRPr="002B370E">
        <w:rPr>
          <w:sz w:val="22"/>
          <w:szCs w:val="22"/>
        </w:rPr>
        <w:t>.</w:t>
      </w:r>
      <w:r w:rsidR="00C330E1">
        <w:rPr>
          <w:sz w:val="22"/>
          <w:szCs w:val="22"/>
        </w:rPr>
        <w:t>10</w:t>
      </w:r>
      <w:r w:rsidR="004E248D">
        <w:rPr>
          <w:sz w:val="22"/>
          <w:szCs w:val="22"/>
        </w:rPr>
        <w:t>.</w:t>
      </w:r>
      <w:proofErr w:type="gramStart"/>
      <w:r w:rsidR="004E248D">
        <w:rPr>
          <w:sz w:val="22"/>
          <w:szCs w:val="22"/>
        </w:rPr>
        <w:t>1</w:t>
      </w:r>
      <w:r w:rsidR="00BF0BD3">
        <w:rPr>
          <w:sz w:val="22"/>
          <w:szCs w:val="22"/>
        </w:rPr>
        <w:t>.</w:t>
      </w:r>
      <w:r w:rsidR="00F80338">
        <w:rPr>
          <w:sz w:val="22"/>
          <w:szCs w:val="22"/>
        </w:rPr>
        <w:t>(</w:t>
      </w:r>
      <w:proofErr w:type="gramEnd"/>
      <w:r w:rsidR="00F80338">
        <w:rPr>
          <w:sz w:val="22"/>
          <w:szCs w:val="22"/>
        </w:rPr>
        <w:t>exclusion criteria)</w:t>
      </w:r>
      <w:r w:rsidR="004E248D">
        <w:rPr>
          <w:sz w:val="22"/>
          <w:szCs w:val="22"/>
        </w:rPr>
        <w:t xml:space="preserve"> or 2.</w:t>
      </w:r>
      <w:r w:rsidR="00C330E1">
        <w:rPr>
          <w:sz w:val="22"/>
          <w:szCs w:val="22"/>
        </w:rPr>
        <w:t>6</w:t>
      </w:r>
      <w:r w:rsidR="004E248D">
        <w:rPr>
          <w:sz w:val="22"/>
          <w:szCs w:val="22"/>
        </w:rPr>
        <w:t>.</w:t>
      </w:r>
      <w:r w:rsidR="00C330E1">
        <w:rPr>
          <w:sz w:val="22"/>
          <w:szCs w:val="22"/>
        </w:rPr>
        <w:t>10</w:t>
      </w:r>
      <w:r w:rsidR="004E248D">
        <w:rPr>
          <w:sz w:val="22"/>
          <w:szCs w:val="22"/>
        </w:rPr>
        <w:t>.</w:t>
      </w:r>
      <w:r w:rsidR="00C330E1">
        <w:rPr>
          <w:sz w:val="22"/>
          <w:szCs w:val="22"/>
        </w:rPr>
        <w:t>1</w:t>
      </w:r>
      <w:r w:rsidR="00BF0BD3">
        <w:rPr>
          <w:sz w:val="22"/>
          <w:szCs w:val="22"/>
        </w:rPr>
        <w:t>.</w:t>
      </w:r>
      <w:r w:rsidR="00C330E1">
        <w:rPr>
          <w:sz w:val="22"/>
          <w:szCs w:val="22"/>
        </w:rPr>
        <w:t>1.</w:t>
      </w:r>
      <w:r w:rsidR="004E248D">
        <w:rPr>
          <w:sz w:val="22"/>
          <w:szCs w:val="22"/>
        </w:rPr>
        <w:t xml:space="preserve"> </w:t>
      </w:r>
      <w:r w:rsidR="00F80338">
        <w:rPr>
          <w:sz w:val="22"/>
          <w:szCs w:val="22"/>
        </w:rPr>
        <w:t>(rejection from a</w:t>
      </w:r>
      <w:r w:rsidR="00F80338" w:rsidRPr="00F80338">
        <w:rPr>
          <w:sz w:val="22"/>
          <w:szCs w:val="22"/>
        </w:rPr>
        <w:t xml:space="preserve"> procedure</w:t>
      </w:r>
      <w:r w:rsidR="00F80338">
        <w:rPr>
          <w:sz w:val="22"/>
          <w:szCs w:val="22"/>
        </w:rPr>
        <w:t>)</w:t>
      </w:r>
      <w:r w:rsidR="00F80338" w:rsidRPr="00F80338">
        <w:rPr>
          <w:sz w:val="22"/>
          <w:szCs w:val="22"/>
        </w:rPr>
        <w:t xml:space="preserve"> </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w:t>
      </w:r>
      <w:r w:rsidR="004E248D" w:rsidRPr="00053FC9">
        <w:rPr>
          <w:sz w:val="22"/>
          <w:szCs w:val="22"/>
        </w:rPr>
        <w:t xml:space="preserve"> </w:t>
      </w:r>
      <w:r w:rsidR="004E248D">
        <w:rPr>
          <w:sz w:val="22"/>
          <w:szCs w:val="22"/>
        </w:rPr>
        <w:t>respectively</w:t>
      </w:r>
      <w:r w:rsidRPr="002B370E">
        <w:rPr>
          <w:sz w:val="22"/>
          <w:szCs w:val="22"/>
        </w:rPr>
        <w:t>.</w:t>
      </w:r>
    </w:p>
    <w:p w14:paraId="1797804B" w14:textId="77777777" w:rsidR="003436FE" w:rsidRDefault="004E248D"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330E1">
        <w:rPr>
          <w:sz w:val="22"/>
          <w:szCs w:val="22"/>
        </w:rPr>
        <w:t>6</w:t>
      </w:r>
      <w:r w:rsidRPr="000E6A9C">
        <w:rPr>
          <w:sz w:val="22"/>
          <w:szCs w:val="22"/>
        </w:rPr>
        <w:t>.</w:t>
      </w:r>
      <w:r w:rsidR="00C330E1">
        <w:rPr>
          <w:sz w:val="22"/>
          <w:szCs w:val="22"/>
        </w:rPr>
        <w:t>10</w:t>
      </w:r>
      <w:r>
        <w:rPr>
          <w:sz w:val="22"/>
          <w:szCs w:val="22"/>
        </w:rPr>
        <w:t>.1</w:t>
      </w:r>
      <w:r w:rsidR="00BF0BD3">
        <w:rPr>
          <w:sz w:val="22"/>
          <w:szCs w:val="22"/>
        </w:rPr>
        <w:t>.</w:t>
      </w:r>
      <w:r w:rsidR="00C330E1">
        <w:rPr>
          <w:sz w:val="22"/>
          <w:szCs w:val="22"/>
        </w:rPr>
        <w:t>1.</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 be</w:t>
      </w:r>
      <w:r w:rsidRPr="002B370E">
        <w:rPr>
          <w:sz w:val="22"/>
          <w:szCs w:val="22"/>
        </w:rPr>
        <w:t xml:space="preserve"> </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w:t>
      </w:r>
      <w:proofErr w:type="gramStart"/>
      <w:r w:rsidR="009021F5">
        <w:rPr>
          <w:sz w:val="22"/>
          <w:szCs w:val="22"/>
        </w:rPr>
        <w:t xml:space="preserve">. </w:t>
      </w:r>
      <w:r w:rsidR="003436FE" w:rsidRPr="002B370E">
        <w:rPr>
          <w:sz w:val="22"/>
          <w:szCs w:val="22"/>
        </w:rPr>
        <w:t>.</w:t>
      </w:r>
      <w:proofErr w:type="gramEnd"/>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w:t>
      </w:r>
      <w:proofErr w:type="gramStart"/>
      <w:r w:rsidR="00B21495">
        <w:rPr>
          <w:sz w:val="22"/>
          <w:szCs w:val="22"/>
        </w:rPr>
        <w:t>force</w:t>
      </w:r>
      <w:r w:rsidR="009021F5">
        <w:rPr>
          <w:sz w:val="22"/>
          <w:szCs w:val="22"/>
        </w:rPr>
        <w:t>.</w:t>
      </w:r>
      <w:r w:rsidR="003436FE" w:rsidRPr="002B370E">
        <w:rPr>
          <w:sz w:val="22"/>
          <w:szCs w:val="22"/>
        </w:rPr>
        <w:t>.</w:t>
      </w:r>
      <w:proofErr w:type="gramEnd"/>
      <w:r w:rsidR="003436FE" w:rsidRPr="002B370E">
        <w:rPr>
          <w:sz w:val="22"/>
          <w:szCs w:val="22"/>
        </w:rPr>
        <w:t xml:space="preserve"> </w:t>
      </w:r>
    </w:p>
    <w:p w14:paraId="2A21846E" w14:textId="77777777" w:rsidR="00381AB8" w:rsidRPr="00C3216F" w:rsidRDefault="00381AB8"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lastRenderedPageBreak/>
        <w:t xml:space="preserve">The contract between the tenderer/contractor and its experts shall contain a provision that it is subject to the approval of the </w:t>
      </w:r>
      <w:r w:rsidR="005D6CCF">
        <w:rPr>
          <w:sz w:val="22"/>
          <w:szCs w:val="22"/>
        </w:rPr>
        <w:t>partner</w:t>
      </w:r>
      <w:r>
        <w:rPr>
          <w:sz w:val="22"/>
          <w:szCs w:val="22"/>
        </w:rPr>
        <w:t xml:space="preserve"> country. It is furthermore recommended that this contract contains a dispute resolution clause. </w:t>
      </w:r>
    </w:p>
    <w:p w14:paraId="62E238DD" w14:textId="77777777" w:rsidR="003436FE" w:rsidRPr="00632671" w:rsidRDefault="00180127"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tenderer must intend to provide the majority of the services itself </w:t>
      </w:r>
      <w:r w:rsidR="004E248D">
        <w:rPr>
          <w:sz w:val="22"/>
          <w:szCs w:val="22"/>
        </w:rPr>
        <w:t>except for the tasks entrusted to experts either as natural persons or single-member companies. I</w:t>
      </w:r>
      <w:r>
        <w:rPr>
          <w:sz w:val="22"/>
          <w:szCs w:val="22"/>
        </w:rPr>
        <w:t>f</w:t>
      </w:r>
      <w:r w:rsidR="003436FE" w:rsidRPr="00632671">
        <w:rPr>
          <w:sz w:val="22"/>
          <w:szCs w:val="22"/>
        </w:rPr>
        <w:t xml:space="preserve"> the tenderer intends to subcontract one or more parts of the contracted services, this must be clearly stated in the </w:t>
      </w:r>
      <w:r w:rsidR="0021784A">
        <w:rPr>
          <w:sz w:val="22"/>
          <w:szCs w:val="22"/>
        </w:rPr>
        <w:t>o</w:t>
      </w:r>
      <w:r w:rsidR="000913E8">
        <w:rPr>
          <w:sz w:val="22"/>
          <w:szCs w:val="22"/>
        </w:rPr>
        <w:t xml:space="preserve">rganisation and </w:t>
      </w:r>
      <w:r w:rsidR="0021784A">
        <w:rPr>
          <w:sz w:val="22"/>
          <w:szCs w:val="22"/>
        </w:rPr>
        <w:t>m</w:t>
      </w:r>
      <w:r w:rsidR="000913E8">
        <w:rPr>
          <w:sz w:val="22"/>
          <w:szCs w:val="22"/>
        </w:rPr>
        <w:t xml:space="preserve">ethodology and the </w:t>
      </w:r>
      <w:r w:rsidR="0021784A">
        <w:rPr>
          <w:sz w:val="22"/>
          <w:szCs w:val="22"/>
        </w:rPr>
        <w:t>t</w:t>
      </w:r>
      <w:r w:rsidR="0048757D">
        <w:rPr>
          <w:sz w:val="22"/>
          <w:szCs w:val="22"/>
        </w:rPr>
        <w:t>ender submission form.</w:t>
      </w:r>
    </w:p>
    <w:p w14:paraId="1BAC6C60"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All subcontractors must be eligible for the contract.</w:t>
      </w:r>
    </w:p>
    <w:p w14:paraId="40C65C8B"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Subcontractors cannot be in any of the exclusion situations listed in Section 2.</w:t>
      </w:r>
      <w:r w:rsidR="00C330E1">
        <w:rPr>
          <w:sz w:val="22"/>
          <w:szCs w:val="22"/>
        </w:rPr>
        <w:t>6</w:t>
      </w:r>
      <w:r w:rsidRPr="00632671">
        <w:rPr>
          <w:sz w:val="22"/>
          <w:szCs w:val="22"/>
        </w:rPr>
        <w:t>.</w:t>
      </w:r>
      <w:r w:rsidR="00C330E1">
        <w:rPr>
          <w:sz w:val="22"/>
          <w:szCs w:val="22"/>
        </w:rPr>
        <w:t>10.1</w:t>
      </w:r>
      <w:r w:rsidRPr="00632671">
        <w:rPr>
          <w:sz w:val="22"/>
          <w:szCs w:val="22"/>
        </w:rPr>
        <w:t xml:space="preserve"> of the </w:t>
      </w:r>
      <w:r w:rsidR="00C330E1">
        <w:rPr>
          <w:sz w:val="22"/>
          <w:szCs w:val="22"/>
        </w:rPr>
        <w:t>p</w:t>
      </w:r>
      <w:r w:rsidRPr="00632671">
        <w:rPr>
          <w:sz w:val="22"/>
          <w:szCs w:val="22"/>
        </w:rPr>
        <w:t xml:space="preserve">ractical </w:t>
      </w:r>
      <w:r w:rsidR="00C330E1">
        <w:rPr>
          <w:sz w:val="22"/>
          <w:szCs w:val="22"/>
        </w:rPr>
        <w:t>g</w:t>
      </w:r>
      <w:r w:rsidRPr="00632671">
        <w:rPr>
          <w:sz w:val="22"/>
          <w:szCs w:val="22"/>
        </w:rPr>
        <w:t xml:space="preserve">uide. </w:t>
      </w:r>
    </w:p>
    <w:p w14:paraId="14D906C8"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If the offer includes subcontracting, it is recommended that the contractual arrangements between the tenderer and its subcontractors include mediation, according to national and international practices, as a method of dispute resolution.</w:t>
      </w:r>
    </w:p>
    <w:p w14:paraId="64E5E8AB" w14:textId="77777777"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14:paraId="631BC2EF"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3B122A5C"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42EFD59A" w14:textId="77777777" w:rsidR="003436FE" w:rsidRPr="002B370E" w:rsidRDefault="003436FE" w:rsidP="003436FE">
      <w:pPr>
        <w:widowControl w:val="0"/>
        <w:spacing w:before="120" w:after="120"/>
        <w:jc w:val="both"/>
        <w:rPr>
          <w:sz w:val="22"/>
          <w:szCs w:val="22"/>
        </w:rPr>
      </w:pPr>
      <w:r w:rsidRPr="002B370E">
        <w:rPr>
          <w:sz w:val="22"/>
          <w:szCs w:val="22"/>
        </w:rPr>
        <w:t xml:space="preserve">The tender must comprise of a </w:t>
      </w:r>
      <w:r w:rsidR="0021784A">
        <w:rPr>
          <w:sz w:val="22"/>
          <w:szCs w:val="22"/>
        </w:rPr>
        <w:t>t</w:t>
      </w:r>
      <w:r w:rsidRPr="002B370E">
        <w:rPr>
          <w:sz w:val="22"/>
          <w:szCs w:val="22"/>
        </w:rPr>
        <w:t xml:space="preserve">echnical offer and a </w:t>
      </w:r>
      <w:r w:rsidR="0021784A">
        <w:rPr>
          <w:sz w:val="22"/>
          <w:szCs w:val="22"/>
        </w:rPr>
        <w:t>f</w:t>
      </w:r>
      <w:r w:rsidRPr="002B370E">
        <w:rPr>
          <w:sz w:val="22"/>
          <w:szCs w:val="22"/>
        </w:rPr>
        <w:t>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Each </w:t>
      </w:r>
      <w:r w:rsidR="0021784A">
        <w:rPr>
          <w:sz w:val="22"/>
          <w:szCs w:val="22"/>
        </w:rPr>
        <w:t>t</w:t>
      </w:r>
      <w:r w:rsidRPr="002B370E">
        <w:rPr>
          <w:sz w:val="22"/>
          <w:szCs w:val="22"/>
        </w:rPr>
        <w:t xml:space="preserve">echnical offer and </w:t>
      </w:r>
      <w:r w:rsidR="0021784A">
        <w:rPr>
          <w:sz w:val="22"/>
          <w:szCs w:val="22"/>
        </w:rPr>
        <w:t>f</w:t>
      </w:r>
      <w:r w:rsidRPr="002B370E">
        <w:rPr>
          <w:sz w:val="22"/>
          <w:szCs w:val="22"/>
        </w:rPr>
        <w:t xml:space="preserve">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48757D">
        <w:rPr>
          <w:sz w:val="22"/>
          <w:szCs w:val="22"/>
        </w:rPr>
        <w:t>three</w:t>
      </w:r>
      <w:r w:rsidRPr="002B370E">
        <w:rPr>
          <w:sz w:val="22"/>
          <w:szCs w:val="22"/>
        </w:rPr>
        <w:t xml:space="preserve"> copies,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will constitute </w:t>
      </w:r>
      <w:r w:rsidR="004E248D">
        <w:rPr>
          <w:sz w:val="22"/>
          <w:szCs w:val="22"/>
        </w:rPr>
        <w:t>an irregularity</w:t>
      </w:r>
      <w:r w:rsidR="004E248D" w:rsidRPr="002B370E">
        <w:rPr>
          <w:sz w:val="22"/>
          <w:szCs w:val="22"/>
        </w:rPr>
        <w:t xml:space="preserve"> </w:t>
      </w:r>
      <w:r w:rsidRPr="002B370E">
        <w:rPr>
          <w:sz w:val="22"/>
          <w:szCs w:val="22"/>
        </w:rPr>
        <w:t>and may result in rejection of the tender.</w:t>
      </w:r>
    </w:p>
    <w:p w14:paraId="05E2480B"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54F29254"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78E49387" w14:textId="77777777" w:rsidR="003436FE" w:rsidRPr="002B370E" w:rsidRDefault="003436FE" w:rsidP="003436FE">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73FC9B46" w14:textId="77777777" w:rsidR="003436FE" w:rsidRPr="009D164C" w:rsidRDefault="003436FE" w:rsidP="003436FE">
      <w:pPr>
        <w:numPr>
          <w:ilvl w:val="0"/>
          <w:numId w:val="27"/>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Pr="00157CF6">
        <w:rPr>
          <w:sz w:val="22"/>
          <w:szCs w:val="22"/>
        </w:rPr>
        <w:t xml:space="preserve"> </w:t>
      </w:r>
      <w:r w:rsidR="001B1598">
        <w:rPr>
          <w:sz w:val="22"/>
          <w:szCs w:val="22"/>
        </w:rPr>
        <w:t xml:space="preserve">together with a signed </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1"/>
      </w:r>
      <w:r w:rsidR="001B1598">
        <w:rPr>
          <w:sz w:val="22"/>
          <w:szCs w:val="22"/>
        </w:rPr>
        <w:t xml:space="preserve"> </w:t>
      </w:r>
      <w:r w:rsidRPr="00157CF6">
        <w:rPr>
          <w:sz w:val="22"/>
          <w:szCs w:val="22"/>
        </w:rPr>
        <w:t>from each legal entity identified in the tender submission form, using the format attached to the tender submission form</w:t>
      </w:r>
      <w:r w:rsidRPr="00D26233">
        <w:rPr>
          <w:sz w:val="22"/>
          <w:szCs w:val="22"/>
        </w:rPr>
        <w:t>.</w:t>
      </w:r>
    </w:p>
    <w:p w14:paraId="3CDDC8BC" w14:textId="77777777" w:rsidR="003436FE" w:rsidRPr="001B1598"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A completed</w:t>
      </w:r>
      <w:r w:rsidRPr="001B1598">
        <w:rPr>
          <w:b/>
          <w:sz w:val="22"/>
          <w:szCs w:val="22"/>
        </w:rPr>
        <w:t xml:space="preserve"> </w:t>
      </w:r>
      <w:r w:rsidR="0021784A">
        <w:rPr>
          <w:b/>
          <w:sz w:val="22"/>
          <w:szCs w:val="22"/>
        </w:rPr>
        <w:t>f</w:t>
      </w:r>
      <w:r w:rsidRPr="001B1598">
        <w:rPr>
          <w:b/>
          <w:sz w:val="22"/>
          <w:szCs w:val="22"/>
        </w:rPr>
        <w:t xml:space="preserve">inancial </w:t>
      </w:r>
      <w:r w:rsidR="0021784A">
        <w:rPr>
          <w:b/>
          <w:sz w:val="22"/>
          <w:szCs w:val="22"/>
        </w:rPr>
        <w:t>i</w:t>
      </w:r>
      <w:r w:rsidRPr="001B1598">
        <w:rPr>
          <w:b/>
          <w:sz w:val="22"/>
          <w:szCs w:val="22"/>
        </w:rPr>
        <w:t>dentification form</w:t>
      </w:r>
      <w:r w:rsidRPr="001B1598">
        <w:rPr>
          <w:sz w:val="22"/>
          <w:szCs w:val="22"/>
        </w:rPr>
        <w:t xml:space="preserve"> (see Annex VI to the draft contract) to indicate the bank account into which payments should be made if the tender is successful. (If the tenderer has already signed another contract with the European Commission, it may provide instead either its financial identification form number or a copy of the financial identification form provided on that occasion, unless it has changed in the meantime).</w:t>
      </w:r>
    </w:p>
    <w:p w14:paraId="236ABB53" w14:textId="77777777" w:rsidR="003436FE" w:rsidRPr="00B806A1"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 xml:space="preserve">The </w:t>
      </w:r>
      <w:r w:rsidRPr="00B806A1">
        <w:rPr>
          <w:b/>
          <w:sz w:val="22"/>
          <w:szCs w:val="22"/>
        </w:rPr>
        <w:t>legal entity file</w:t>
      </w:r>
      <w:r w:rsidRPr="00B806A1">
        <w:rPr>
          <w:sz w:val="22"/>
          <w:szCs w:val="22"/>
        </w:rPr>
        <w:t xml:space="preserve"> and supporting documents (if the tenderer has already signed another contract with the European Commission, it may provide instead either its </w:t>
      </w:r>
      <w:r w:rsidRPr="00B806A1">
        <w:rPr>
          <w:sz w:val="22"/>
          <w:szCs w:val="22"/>
        </w:rPr>
        <w:lastRenderedPageBreak/>
        <w:t>legal entity number or a copy of the legal entity file provided on that occasion, unless it has changed its legal status in the meantime).</w:t>
      </w:r>
    </w:p>
    <w:p w14:paraId="50A12FA0" w14:textId="77777777" w:rsidR="003436FE" w:rsidRPr="00BF0BD3" w:rsidRDefault="003436FE" w:rsidP="003436FE">
      <w:pPr>
        <w:numPr>
          <w:ilvl w:val="0"/>
          <w:numId w:val="27"/>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company/joint venture/consortium is duly authorised to do so. </w:t>
      </w:r>
    </w:p>
    <w:p w14:paraId="52ACEA1C" w14:textId="77777777"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4E9E1DF8" w14:textId="77777777" w:rsidR="003436FE" w:rsidRPr="002B370E" w:rsidRDefault="00951A3B" w:rsidP="003436FE">
      <w:pPr>
        <w:pStyle w:val="BodyTextIndent"/>
        <w:tabs>
          <w:tab w:val="clear" w:pos="567"/>
        </w:tabs>
        <w:spacing w:before="120"/>
        <w:rPr>
          <w:sz w:val="22"/>
          <w:szCs w:val="22"/>
        </w:rPr>
      </w:pPr>
      <w:r>
        <w:rPr>
          <w:sz w:val="22"/>
          <w:szCs w:val="22"/>
        </w:rPr>
        <w:t xml:space="preserve"> (3</w:t>
      </w:r>
      <w:r w:rsidR="00010683">
        <w:rPr>
          <w:sz w:val="22"/>
          <w:szCs w:val="22"/>
        </w:rPr>
        <w:t>)</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 xml:space="preserve">) is </w:t>
      </w:r>
      <w:r w:rsidR="00157CF6">
        <w:rPr>
          <w:sz w:val="22"/>
          <w:szCs w:val="22"/>
        </w:rPr>
        <w:t>effectively</w:t>
      </w:r>
      <w:r w:rsidR="00157CF6" w:rsidRPr="002B370E">
        <w:rPr>
          <w:sz w:val="22"/>
          <w:szCs w:val="22"/>
        </w:rPr>
        <w:t xml:space="preserve"> </w:t>
      </w:r>
      <w:r w:rsidR="003436FE" w:rsidRPr="002B370E">
        <w:rPr>
          <w:sz w:val="22"/>
          <w:szCs w:val="22"/>
        </w:rPr>
        <w:t xml:space="preserve">established, to show that it </w:t>
      </w:r>
      <w:r w:rsidR="003436FE">
        <w:rPr>
          <w:sz w:val="22"/>
          <w:szCs w:val="22"/>
        </w:rPr>
        <w:t>is</w:t>
      </w:r>
      <w:r w:rsidR="003436FE" w:rsidRPr="002B370E">
        <w:rPr>
          <w:sz w:val="22"/>
          <w:szCs w:val="22"/>
        </w:rPr>
        <w:t xml:space="preserve"> not in any of the exclusion situations listed in </w:t>
      </w:r>
      <w:r w:rsidR="00543D27">
        <w:rPr>
          <w:sz w:val="22"/>
          <w:szCs w:val="22"/>
        </w:rPr>
        <w:t>S</w:t>
      </w:r>
      <w:r w:rsidR="003436FE" w:rsidRPr="002B370E">
        <w:rPr>
          <w:sz w:val="22"/>
          <w:szCs w:val="22"/>
        </w:rPr>
        <w:t>ection 2.</w:t>
      </w:r>
      <w:r w:rsidR="00C330E1">
        <w:rPr>
          <w:sz w:val="22"/>
          <w:szCs w:val="22"/>
        </w:rPr>
        <w:t>6</w:t>
      </w:r>
      <w:r w:rsidR="003436FE" w:rsidRPr="002B370E">
        <w:rPr>
          <w:sz w:val="22"/>
          <w:szCs w:val="22"/>
        </w:rPr>
        <w:t>.</w:t>
      </w:r>
      <w:r w:rsidR="00C330E1">
        <w:rPr>
          <w:sz w:val="22"/>
          <w:szCs w:val="22"/>
        </w:rPr>
        <w:t>10.1</w:t>
      </w:r>
      <w:r w:rsidR="003436FE" w:rsidRPr="002B370E">
        <w:rPr>
          <w:sz w:val="22"/>
          <w:szCs w:val="22"/>
        </w:rPr>
        <w:t xml:space="preserve"> 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uide.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w:t>
      </w:r>
      <w:r w:rsidR="00157CF6">
        <w:rPr>
          <w:sz w:val="22"/>
          <w:szCs w:val="22"/>
        </w:rPr>
        <w:t>one</w:t>
      </w:r>
      <w:r w:rsidR="00157CF6" w:rsidRPr="002B370E">
        <w:rPr>
          <w:sz w:val="22"/>
          <w:szCs w:val="22"/>
        </w:rPr>
        <w:t xml:space="preserve"> </w:t>
      </w:r>
      <w:r w:rsidR="003436FE" w:rsidRPr="002B370E">
        <w:rPr>
          <w:sz w:val="22"/>
          <w:szCs w:val="22"/>
        </w:rPr>
        <w:t xml:space="preserve">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14:paraId="22F09F38" w14:textId="77777777"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0418DEF2" w14:textId="77777777" w:rsidR="003121C6" w:rsidRDefault="005B54ED" w:rsidP="005B54ED">
      <w:pPr>
        <w:spacing w:before="120" w:after="120"/>
        <w:ind w:left="567" w:hanging="567"/>
        <w:jc w:val="both"/>
        <w:rPr>
          <w:color w:val="000000"/>
          <w:sz w:val="22"/>
          <w:szCs w:val="22"/>
        </w:rPr>
      </w:pPr>
      <w:r>
        <w:rPr>
          <w:color w:val="000000"/>
          <w:sz w:val="22"/>
          <w:szCs w:val="22"/>
        </w:rPr>
        <w:t xml:space="preserve"> (4</w:t>
      </w:r>
      <w:r w:rsidR="003121C6" w:rsidRPr="005B54ED">
        <w:rPr>
          <w:color w:val="000000"/>
          <w:sz w:val="22"/>
          <w:szCs w:val="22"/>
        </w:rPr>
        <w:t>)</w:t>
      </w:r>
      <w:r w:rsidR="00010683" w:rsidRPr="005B54ED">
        <w:rPr>
          <w:color w:val="000000"/>
          <w:sz w:val="22"/>
          <w:szCs w:val="22"/>
        </w:rPr>
        <w:tab/>
      </w:r>
      <w:r w:rsidR="003121C6" w:rsidRPr="005B54ED">
        <w:rPr>
          <w:color w:val="000000"/>
          <w:sz w:val="22"/>
          <w:szCs w:val="22"/>
        </w:rPr>
        <w:t xml:space="preserve">Documentary evidence of the financial and economic capacity </w:t>
      </w:r>
      <w:r w:rsidR="000F0B96" w:rsidRPr="005B54ED">
        <w:rPr>
          <w:color w:val="000000"/>
          <w:sz w:val="22"/>
          <w:szCs w:val="22"/>
        </w:rPr>
        <w:t>and/or of</w:t>
      </w:r>
      <w:r w:rsidR="003121C6" w:rsidRPr="005B54ED">
        <w:rPr>
          <w:color w:val="000000"/>
          <w:sz w:val="22"/>
          <w:szCs w:val="22"/>
        </w:rPr>
        <w:t xml:space="preserve"> the technical and professional capacity according to the selection criteria specified in </w:t>
      </w:r>
      <w:r w:rsidR="005D2BA9" w:rsidRPr="005B54ED">
        <w:rPr>
          <w:color w:val="000000"/>
          <w:sz w:val="22"/>
          <w:szCs w:val="22"/>
        </w:rPr>
        <w:t xml:space="preserve">point 16 of </w:t>
      </w:r>
      <w:r w:rsidR="003121C6" w:rsidRPr="005B54ED">
        <w:rPr>
          <w:color w:val="000000"/>
          <w:sz w:val="22"/>
          <w:szCs w:val="22"/>
        </w:rPr>
        <w:t xml:space="preserve">the </w:t>
      </w:r>
      <w:r w:rsidR="00412107" w:rsidRPr="005B54ED">
        <w:rPr>
          <w:color w:val="000000"/>
          <w:sz w:val="22"/>
          <w:szCs w:val="22"/>
        </w:rPr>
        <w:t xml:space="preserve">contract </w:t>
      </w:r>
      <w:r w:rsidR="003121C6" w:rsidRPr="005B54ED">
        <w:rPr>
          <w:color w:val="000000"/>
          <w:sz w:val="22"/>
          <w:szCs w:val="22"/>
        </w:rPr>
        <w:t xml:space="preserve">notice. </w:t>
      </w:r>
      <w:r w:rsidR="00C3216F" w:rsidRPr="005B54ED">
        <w:rPr>
          <w:sz w:val="22"/>
          <w:szCs w:val="22"/>
        </w:rPr>
        <w:t>(S</w:t>
      </w:r>
      <w:r w:rsidR="003121C6" w:rsidRPr="005B54ED">
        <w:rPr>
          <w:sz w:val="22"/>
          <w:szCs w:val="22"/>
        </w:rPr>
        <w:t xml:space="preserve">ee further </w:t>
      </w:r>
      <w:r w:rsidR="00543D27" w:rsidRPr="005B54ED">
        <w:rPr>
          <w:sz w:val="22"/>
          <w:szCs w:val="22"/>
        </w:rPr>
        <w:t>Section</w:t>
      </w:r>
      <w:r w:rsidR="003121C6" w:rsidRPr="005B54ED">
        <w:rPr>
          <w:sz w:val="22"/>
          <w:szCs w:val="22"/>
        </w:rPr>
        <w:t xml:space="preserve"> 2.</w:t>
      </w:r>
      <w:r w:rsidR="00C330E1" w:rsidRPr="005B54ED">
        <w:rPr>
          <w:sz w:val="22"/>
          <w:szCs w:val="22"/>
        </w:rPr>
        <w:t>6</w:t>
      </w:r>
      <w:r w:rsidR="003121C6" w:rsidRPr="005B54ED">
        <w:rPr>
          <w:sz w:val="22"/>
          <w:szCs w:val="22"/>
        </w:rPr>
        <w:t xml:space="preserve">.11 of the </w:t>
      </w:r>
      <w:r w:rsidR="00C330E1" w:rsidRPr="005B54ED">
        <w:rPr>
          <w:sz w:val="22"/>
          <w:szCs w:val="22"/>
        </w:rPr>
        <w:t>p</w:t>
      </w:r>
      <w:r w:rsidR="003121C6" w:rsidRPr="005B54ED">
        <w:rPr>
          <w:sz w:val="22"/>
          <w:szCs w:val="22"/>
        </w:rPr>
        <w:t xml:space="preserve">ractical </w:t>
      </w:r>
      <w:r w:rsidR="00C330E1" w:rsidRPr="005B54ED">
        <w:rPr>
          <w:sz w:val="22"/>
          <w:szCs w:val="22"/>
        </w:rPr>
        <w:t>g</w:t>
      </w:r>
      <w:r w:rsidR="003121C6" w:rsidRPr="005B54ED">
        <w:rPr>
          <w:sz w:val="22"/>
          <w:szCs w:val="22"/>
        </w:rPr>
        <w:t>uide).</w:t>
      </w:r>
      <w:r w:rsidR="00804556" w:rsidRPr="005B54ED">
        <w:rPr>
          <w:sz w:val="22"/>
          <w:szCs w:val="22"/>
        </w:rPr>
        <w:t>]</w:t>
      </w:r>
      <w:r w:rsidR="003121C6" w:rsidRPr="00B21E35">
        <w:rPr>
          <w:color w:val="000000"/>
          <w:sz w:val="22"/>
          <w:szCs w:val="22"/>
        </w:rPr>
        <w:t xml:space="preserve"> </w:t>
      </w:r>
    </w:p>
    <w:p w14:paraId="492D94D9" w14:textId="77777777"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74B425BD" w14:textId="77777777"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3E18CCDB"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5877B783" w14:textId="77777777" w:rsidR="008531BA" w:rsidRPr="005B54ED" w:rsidRDefault="003436FE" w:rsidP="003436FE">
      <w:pPr>
        <w:shd w:val="clear" w:color="auto" w:fill="FFFFFF"/>
        <w:spacing w:before="120" w:after="120"/>
        <w:jc w:val="both"/>
        <w:rPr>
          <w:sz w:val="22"/>
          <w:szCs w:val="22"/>
        </w:rPr>
      </w:pPr>
      <w:r w:rsidRPr="005B54ED">
        <w:rPr>
          <w:sz w:val="22"/>
          <w:szCs w:val="22"/>
        </w:rPr>
        <w:t xml:space="preserve">The </w:t>
      </w:r>
      <w:r w:rsidR="00543D27" w:rsidRPr="005B54ED">
        <w:rPr>
          <w:sz w:val="22"/>
          <w:szCs w:val="22"/>
        </w:rPr>
        <w:t>f</w:t>
      </w:r>
      <w:r w:rsidRPr="005B54ED">
        <w:rPr>
          <w:sz w:val="22"/>
          <w:szCs w:val="22"/>
        </w:rPr>
        <w:t>inancial offer must be presented as an amount in Euro</w:t>
      </w:r>
      <w:r w:rsidR="00E33957" w:rsidRPr="005B54ED">
        <w:rPr>
          <w:sz w:val="22"/>
          <w:szCs w:val="22"/>
        </w:rPr>
        <w:t xml:space="preserve"> </w:t>
      </w:r>
      <w:r w:rsidRPr="005B54ED">
        <w:rPr>
          <w:sz w:val="22"/>
          <w:szCs w:val="22"/>
        </w:rPr>
        <w:t>and must be submitted using the template for the global-price version of Annex V to part B of this tender dossier. The electronic version of this document ‘B8 — Budget for a global-price contract’ can be found on the website</w:t>
      </w:r>
    </w:p>
    <w:p w14:paraId="03C80126" w14:textId="77777777" w:rsidR="005F1DD5" w:rsidRPr="005B54ED" w:rsidRDefault="00B218E3" w:rsidP="003436FE">
      <w:pPr>
        <w:shd w:val="clear" w:color="auto" w:fill="FFFFFF"/>
        <w:spacing w:before="120" w:after="120"/>
        <w:jc w:val="both"/>
        <w:rPr>
          <w:color w:val="0000FF"/>
          <w:sz w:val="22"/>
          <w:szCs w:val="22"/>
        </w:rPr>
      </w:pPr>
      <w:hyperlink r:id="rId9" w:history="1">
        <w:r w:rsidR="00996707" w:rsidRPr="005B54ED">
          <w:rPr>
            <w:rStyle w:val="Hyperlink"/>
            <w:sz w:val="22"/>
            <w:szCs w:val="22"/>
          </w:rPr>
          <w:t>http://ec.europa.eu/europeaid/prag/document.do</w:t>
        </w:r>
      </w:hyperlink>
      <w:r w:rsidR="005D1583" w:rsidRPr="005B54ED">
        <w:rPr>
          <w:sz w:val="22"/>
          <w:szCs w:val="22"/>
        </w:rPr>
        <w:t>.</w:t>
      </w:r>
    </w:p>
    <w:p w14:paraId="2AE0B924" w14:textId="77777777" w:rsidR="003436FE" w:rsidRPr="002B370E" w:rsidRDefault="003436FE" w:rsidP="003436FE">
      <w:pPr>
        <w:shd w:val="clear" w:color="auto" w:fill="FFFFFF"/>
        <w:spacing w:before="120" w:after="120"/>
        <w:jc w:val="both"/>
        <w:rPr>
          <w:sz w:val="22"/>
          <w:szCs w:val="22"/>
        </w:rPr>
      </w:pPr>
      <w:r w:rsidRPr="005B54ED">
        <w:rPr>
          <w:sz w:val="22"/>
          <w:szCs w:val="22"/>
        </w:rPr>
        <w:t xml:space="preserve">The global price </w:t>
      </w:r>
      <w:r w:rsidR="008531BA" w:rsidRPr="005B54ED">
        <w:rPr>
          <w:sz w:val="22"/>
          <w:szCs w:val="22"/>
        </w:rPr>
        <w:t>may</w:t>
      </w:r>
      <w:r w:rsidRPr="005B54ED">
        <w:rPr>
          <w:sz w:val="22"/>
          <w:szCs w:val="22"/>
        </w:rPr>
        <w:t xml:space="preserve"> be broken down </w:t>
      </w:r>
      <w:r w:rsidR="008531BA" w:rsidRPr="005B54ED">
        <w:rPr>
          <w:sz w:val="22"/>
          <w:szCs w:val="22"/>
        </w:rPr>
        <w:t xml:space="preserve">by outputs if required from the </w:t>
      </w:r>
      <w:r w:rsidR="00543D27" w:rsidRPr="005B54ED">
        <w:rPr>
          <w:sz w:val="22"/>
          <w:szCs w:val="22"/>
        </w:rPr>
        <w:t>t</w:t>
      </w:r>
      <w:r w:rsidR="008531BA" w:rsidRPr="005B54ED">
        <w:rPr>
          <w:sz w:val="22"/>
          <w:szCs w:val="22"/>
        </w:rPr>
        <w:t xml:space="preserve">erms of </w:t>
      </w:r>
      <w:r w:rsidR="00543D27" w:rsidRPr="005B54ED">
        <w:rPr>
          <w:sz w:val="22"/>
          <w:szCs w:val="22"/>
        </w:rPr>
        <w:t>r</w:t>
      </w:r>
      <w:r w:rsidR="008531BA" w:rsidRPr="005B54ED">
        <w:rPr>
          <w:sz w:val="22"/>
          <w:szCs w:val="22"/>
        </w:rPr>
        <w:t>eference</w:t>
      </w:r>
      <w:r w:rsidRPr="005B54ED">
        <w:rPr>
          <w:sz w:val="22"/>
          <w:szCs w:val="22"/>
        </w:rPr>
        <w:t>.]</w:t>
      </w:r>
    </w:p>
    <w:p w14:paraId="0A2B659C" w14:textId="0CADD626"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00B218E3">
        <w:rPr>
          <w:sz w:val="22"/>
          <w:szCs w:val="22"/>
        </w:rPr>
        <w:t>13.3</w:t>
      </w:r>
      <w:bookmarkStart w:id="2" w:name="_GoBack"/>
      <w:bookmarkEnd w:id="2"/>
      <w:r w:rsidR="005B54ED">
        <w:rPr>
          <w:sz w:val="22"/>
          <w:szCs w:val="22"/>
        </w:rPr>
        <w:t xml:space="preserve">00 </w:t>
      </w:r>
      <w:r w:rsidRPr="005B54ED">
        <w:rPr>
          <w:sz w:val="22"/>
          <w:szCs w:val="22"/>
        </w:rPr>
        <w:t>EUR</w:t>
      </w:r>
      <w:r w:rsidRPr="002B370E">
        <w:rPr>
          <w:sz w:val="22"/>
          <w:szCs w:val="22"/>
        </w:rPr>
        <w:t xml:space="preserve">. Payments under this contract will be made in </w:t>
      </w:r>
      <w:r w:rsidR="006F25A2">
        <w:rPr>
          <w:sz w:val="22"/>
          <w:szCs w:val="22"/>
        </w:rPr>
        <w:t xml:space="preserve">the currency of the </w:t>
      </w:r>
      <w:r w:rsidR="0048757D">
        <w:rPr>
          <w:sz w:val="22"/>
          <w:szCs w:val="22"/>
        </w:rPr>
        <w:t>MKD</w:t>
      </w:r>
      <w:r w:rsidR="006F25A2">
        <w:rPr>
          <w:sz w:val="22"/>
          <w:szCs w:val="22"/>
        </w:rPr>
        <w:t>.</w:t>
      </w:r>
      <w:r w:rsidRPr="002B370E">
        <w:rPr>
          <w:sz w:val="22"/>
          <w:szCs w:val="22"/>
        </w:rPr>
        <w:t xml:space="preserve"> </w:t>
      </w:r>
    </w:p>
    <w:p w14:paraId="3DE5C8BF" w14:textId="77777777"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33530E45" w14:textId="77777777"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lastRenderedPageBreak/>
        <w:t>Exemption of taxes</w:t>
      </w:r>
    </w:p>
    <w:p w14:paraId="14574077" w14:textId="6395CF86" w:rsidR="0048757D" w:rsidRDefault="003436FE" w:rsidP="003436FE">
      <w:pPr>
        <w:spacing w:before="120"/>
        <w:jc w:val="both"/>
        <w:rPr>
          <w:sz w:val="22"/>
          <w:szCs w:val="22"/>
        </w:rPr>
      </w:pPr>
      <w:r w:rsidRPr="0082031A">
        <w:rPr>
          <w:sz w:val="22"/>
          <w:szCs w:val="22"/>
        </w:rPr>
        <w:t xml:space="preserve">The European Commission and </w:t>
      </w:r>
      <w:r w:rsidR="0082031A" w:rsidRPr="0082031A">
        <w:rPr>
          <w:sz w:val="22"/>
          <w:szCs w:val="22"/>
        </w:rPr>
        <w:t>the former Yugoslav Republic of Macedonia</w:t>
      </w:r>
      <w:r w:rsidRPr="0082031A">
        <w:rPr>
          <w:sz w:val="22"/>
          <w:szCs w:val="22"/>
        </w:rPr>
        <w:t xml:space="preserve"> have agreed to fully exonerate the </w:t>
      </w:r>
      <w:r w:rsidR="0082031A" w:rsidRPr="0082031A">
        <w:rPr>
          <w:sz w:val="22"/>
          <w:szCs w:val="22"/>
        </w:rPr>
        <w:t>VAT</w:t>
      </w:r>
      <w:r w:rsidRPr="0082031A">
        <w:rPr>
          <w:sz w:val="22"/>
          <w:szCs w:val="22"/>
        </w:rPr>
        <w:t xml:space="preserve"> taxes. More specific information </w:t>
      </w:r>
      <w:r w:rsidR="0010584D">
        <w:rPr>
          <w:sz w:val="22"/>
          <w:szCs w:val="22"/>
        </w:rPr>
        <w:t>for VAT exemption procedures you can find at the website of the Public Revenue Office of the former Yugoslav Republic of Macedonia</w:t>
      </w:r>
      <w:r w:rsidRPr="0082031A">
        <w:rPr>
          <w:sz w:val="22"/>
          <w:szCs w:val="22"/>
        </w:rPr>
        <w:t>.</w:t>
      </w:r>
      <w:r w:rsidRPr="002B370E">
        <w:rPr>
          <w:sz w:val="22"/>
          <w:szCs w:val="22"/>
        </w:rPr>
        <w:t xml:space="preserve">  </w:t>
      </w:r>
    </w:p>
    <w:p w14:paraId="7250CF13" w14:textId="77777777" w:rsidR="0082031A" w:rsidRPr="002B370E" w:rsidRDefault="0082031A" w:rsidP="003436FE">
      <w:pPr>
        <w:spacing w:before="120"/>
        <w:jc w:val="both"/>
        <w:rPr>
          <w:sz w:val="22"/>
          <w:szCs w:val="22"/>
        </w:rPr>
      </w:pPr>
    </w:p>
    <w:p w14:paraId="2124EE6F"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14:paraId="20DBECC5"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3017103E"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14:paraId="7FD6E9B8" w14:textId="77777777"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xml:space="preserve">. </w:t>
      </w:r>
    </w:p>
    <w:p w14:paraId="72D137D2" w14:textId="77777777" w:rsidR="003436FE" w:rsidRPr="002B370E" w:rsidRDefault="003436FE" w:rsidP="003436FE">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Pr>
          <w:sz w:val="22"/>
          <w:szCs w:val="22"/>
        </w:rPr>
        <w:t>A</w:t>
      </w:r>
      <w:r w:rsidRPr="002B370E">
        <w:rPr>
          <w:sz w:val="22"/>
          <w:szCs w:val="22"/>
        </w:rPr>
        <w:t xml:space="preserve"> further period of 60 days is added to the validity period irrespective of the date of notification.</w:t>
      </w:r>
      <w:r w:rsidR="001B1598" w:rsidRPr="001B1598">
        <w:rPr>
          <w:sz w:val="22"/>
          <w:szCs w:val="22"/>
        </w:rPr>
        <w:t xml:space="preserve"> This period can be further extended when the contracting authority is required to obtain the recommendation of the panel referred to in </w:t>
      </w:r>
      <w:r w:rsidR="00543D27">
        <w:rPr>
          <w:sz w:val="22"/>
          <w:szCs w:val="22"/>
        </w:rPr>
        <w:t>S</w:t>
      </w:r>
      <w:r w:rsidR="001B1598" w:rsidRPr="001B1598">
        <w:rPr>
          <w:sz w:val="22"/>
          <w:szCs w:val="22"/>
        </w:rPr>
        <w:t>ection 2.</w:t>
      </w:r>
      <w:r w:rsidR="00491B4A">
        <w:rPr>
          <w:sz w:val="22"/>
          <w:szCs w:val="22"/>
        </w:rPr>
        <w:t>6</w:t>
      </w:r>
      <w:r w:rsidR="001B1598" w:rsidRPr="001B1598">
        <w:rPr>
          <w:sz w:val="22"/>
          <w:szCs w:val="22"/>
        </w:rPr>
        <w:t>.</w:t>
      </w:r>
      <w:r w:rsidR="00491B4A">
        <w:rPr>
          <w:sz w:val="22"/>
          <w:szCs w:val="22"/>
        </w:rPr>
        <w:t>10</w:t>
      </w:r>
      <w:r w:rsidR="001B1598" w:rsidRPr="001B1598">
        <w:rPr>
          <w:sz w:val="22"/>
          <w:szCs w:val="22"/>
        </w:rPr>
        <w:t>.1</w:t>
      </w:r>
      <w:r w:rsidR="00491B4A">
        <w:rPr>
          <w:sz w:val="22"/>
          <w:szCs w:val="22"/>
        </w:rPr>
        <w:t>.1</w:t>
      </w:r>
      <w:r w:rsidR="001B1598" w:rsidRPr="001B1598">
        <w:rPr>
          <w:sz w:val="22"/>
          <w:szCs w:val="22"/>
        </w:rPr>
        <w:t xml:space="preserve"> of the </w:t>
      </w:r>
      <w:r w:rsidR="00491B4A">
        <w:rPr>
          <w:sz w:val="22"/>
          <w:szCs w:val="22"/>
        </w:rPr>
        <w:t>p</w:t>
      </w:r>
      <w:r w:rsidR="001B1598" w:rsidRPr="001B1598">
        <w:rPr>
          <w:sz w:val="22"/>
          <w:szCs w:val="22"/>
        </w:rPr>
        <w:t xml:space="preserve">ractical </w:t>
      </w:r>
      <w:r w:rsidR="00491B4A">
        <w:rPr>
          <w:sz w:val="22"/>
          <w:szCs w:val="22"/>
        </w:rPr>
        <w:t>g</w:t>
      </w:r>
      <w:r w:rsidR="001B1598" w:rsidRPr="001B1598">
        <w:rPr>
          <w:sz w:val="22"/>
          <w:szCs w:val="22"/>
        </w:rPr>
        <w:t>uide, up to the adoption of that recommendation.</w:t>
      </w:r>
    </w:p>
    <w:p w14:paraId="5F57566B"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349B2CB3" w14:textId="77777777"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candidates having to request additional information during the procedure. If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w:t>
      </w:r>
      <w:r w:rsidR="000C5425">
        <w:rPr>
          <w:sz w:val="22"/>
          <w:szCs w:val="22"/>
        </w:rPr>
        <w:t>tenderer</w:t>
      </w:r>
      <w:r w:rsidRPr="002B370E">
        <w:rPr>
          <w:sz w:val="22"/>
          <w:szCs w:val="22"/>
        </w:rPr>
        <w:t xml:space="preserve">, provides additional information on the tender dossier, it must send such information in writing to all </w:t>
      </w:r>
      <w:r w:rsidR="000C5425">
        <w:rPr>
          <w:sz w:val="22"/>
          <w:szCs w:val="22"/>
        </w:rPr>
        <w:t>the tenderers</w:t>
      </w:r>
      <w:r w:rsidRPr="002B370E">
        <w:rPr>
          <w:sz w:val="22"/>
          <w:szCs w:val="22"/>
        </w:rPr>
        <w:t xml:space="preserve"> at the same time.</w:t>
      </w:r>
    </w:p>
    <w:p w14:paraId="400EA319" w14:textId="77777777" w:rsidR="003436FE" w:rsidRPr="002B370E" w:rsidRDefault="003436FE" w:rsidP="003436FE">
      <w:pPr>
        <w:keepNext/>
        <w:spacing w:before="120" w:after="120"/>
        <w:jc w:val="both"/>
        <w:rPr>
          <w:sz w:val="22"/>
          <w:szCs w:val="22"/>
        </w:rPr>
      </w:pPr>
      <w:r w:rsidRPr="002B370E">
        <w:rPr>
          <w:sz w:val="22"/>
          <w:szCs w:val="22"/>
        </w:rPr>
        <w:t>Tenderers may submit questions in writing to the following address up to 21 days before the deadline for submission of tenders, specifying the publication reference and the contract title:</w:t>
      </w:r>
    </w:p>
    <w:p w14:paraId="0C93C848" w14:textId="4A7E755A" w:rsidR="00FF3290" w:rsidRDefault="00FF3290" w:rsidP="003436FE">
      <w:pPr>
        <w:pStyle w:val="BodyText"/>
        <w:spacing w:before="240"/>
        <w:rPr>
          <w:sz w:val="22"/>
          <w:szCs w:val="22"/>
        </w:rPr>
      </w:pPr>
      <w:r>
        <w:rPr>
          <w:sz w:val="22"/>
          <w:szCs w:val="22"/>
        </w:rPr>
        <w:t>Mr</w:t>
      </w:r>
      <w:r w:rsidR="008E3D9F">
        <w:rPr>
          <w:sz w:val="22"/>
          <w:szCs w:val="22"/>
        </w:rPr>
        <w:t>s</w:t>
      </w:r>
      <w:r>
        <w:rPr>
          <w:sz w:val="22"/>
          <w:szCs w:val="22"/>
        </w:rPr>
        <w:t xml:space="preserve"> </w:t>
      </w:r>
      <w:proofErr w:type="spellStart"/>
      <w:r w:rsidR="008E3D9F">
        <w:rPr>
          <w:sz w:val="22"/>
          <w:szCs w:val="22"/>
        </w:rPr>
        <w:t>Biljana</w:t>
      </w:r>
      <w:proofErr w:type="spellEnd"/>
      <w:r w:rsidR="008E3D9F">
        <w:rPr>
          <w:sz w:val="22"/>
          <w:szCs w:val="22"/>
        </w:rPr>
        <w:t xml:space="preserve"> </w:t>
      </w:r>
      <w:proofErr w:type="spellStart"/>
      <w:r w:rsidR="008E3D9F">
        <w:rPr>
          <w:sz w:val="22"/>
          <w:szCs w:val="22"/>
        </w:rPr>
        <w:t>Lukic</w:t>
      </w:r>
      <w:proofErr w:type="spellEnd"/>
      <w:r w:rsidR="008E3D9F">
        <w:rPr>
          <w:sz w:val="22"/>
          <w:szCs w:val="22"/>
        </w:rPr>
        <w:t xml:space="preserve"> </w:t>
      </w:r>
      <w:proofErr w:type="spellStart"/>
      <w:r w:rsidR="008E3D9F">
        <w:rPr>
          <w:sz w:val="22"/>
          <w:szCs w:val="22"/>
        </w:rPr>
        <w:t>Tanchevska</w:t>
      </w:r>
      <w:proofErr w:type="spellEnd"/>
      <w:r w:rsidR="008E3D9F">
        <w:rPr>
          <w:sz w:val="22"/>
          <w:szCs w:val="22"/>
        </w:rPr>
        <w:t xml:space="preserve"> </w:t>
      </w:r>
      <w:r w:rsidR="008E3D9F">
        <w:rPr>
          <w:sz w:val="22"/>
          <w:szCs w:val="22"/>
        </w:rPr>
        <w:br/>
        <w:t xml:space="preserve">JP </w:t>
      </w:r>
      <w:proofErr w:type="spellStart"/>
      <w:r w:rsidR="008E3D9F">
        <w:rPr>
          <w:sz w:val="22"/>
          <w:szCs w:val="22"/>
        </w:rPr>
        <w:t>Komunalec</w:t>
      </w:r>
      <w:proofErr w:type="spellEnd"/>
      <w:r w:rsidR="008E3D9F">
        <w:rPr>
          <w:sz w:val="22"/>
          <w:szCs w:val="22"/>
        </w:rPr>
        <w:br/>
        <w:t xml:space="preserve">7000 Bitola </w:t>
      </w:r>
      <w:r>
        <w:rPr>
          <w:sz w:val="22"/>
          <w:szCs w:val="22"/>
        </w:rPr>
        <w:br/>
        <w:t xml:space="preserve">e-mail: </w:t>
      </w:r>
      <w:r w:rsidR="008E3D9F" w:rsidRPr="008E3D9F">
        <w:rPr>
          <w:sz w:val="22"/>
          <w:szCs w:val="22"/>
        </w:rPr>
        <w:t>biljana.lukic86@gmail.com</w:t>
      </w:r>
    </w:p>
    <w:p w14:paraId="1C772F9A" w14:textId="77777777" w:rsidR="003436FE" w:rsidRPr="002B370E" w:rsidRDefault="003436FE" w:rsidP="003436FE">
      <w:pPr>
        <w:pStyle w:val="BodyText"/>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p>
    <w:p w14:paraId="2369D853" w14:textId="77777777" w:rsidR="003436F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14:paraId="2E9CB687" w14:textId="77777777"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14:paraId="4D1332BB" w14:textId="77777777" w:rsidR="003436FE" w:rsidRPr="002B370E" w:rsidRDefault="003436FE" w:rsidP="003436FE">
      <w:pPr>
        <w:keepNext/>
        <w:numPr>
          <w:ilvl w:val="0"/>
          <w:numId w:val="26"/>
        </w:numPr>
        <w:spacing w:before="120" w:after="120"/>
        <w:jc w:val="both"/>
        <w:rPr>
          <w:b/>
          <w:sz w:val="24"/>
          <w:szCs w:val="24"/>
        </w:rPr>
      </w:pPr>
      <w:bookmarkStart w:id="3" w:name="_Ref499614274"/>
      <w:bookmarkStart w:id="4" w:name="_Ref499982672"/>
      <w:r w:rsidRPr="002B370E">
        <w:rPr>
          <w:b/>
          <w:sz w:val="24"/>
          <w:szCs w:val="24"/>
        </w:rPr>
        <w:t>Submission of tenders</w:t>
      </w:r>
      <w:bookmarkEnd w:id="3"/>
      <w:bookmarkEnd w:id="4"/>
    </w:p>
    <w:p w14:paraId="748E1A07" w14:textId="77777777" w:rsidR="003436FE" w:rsidRPr="002B370E" w:rsidRDefault="003436FE" w:rsidP="003436FE">
      <w:pPr>
        <w:spacing w:before="120" w:after="120"/>
        <w:jc w:val="both"/>
        <w:rPr>
          <w:sz w:val="22"/>
          <w:szCs w:val="22"/>
        </w:rPr>
      </w:pPr>
      <w:r w:rsidRPr="002B370E">
        <w:rPr>
          <w:sz w:val="22"/>
          <w:szCs w:val="22"/>
        </w:rPr>
        <w:t xml:space="preserve">Tenders must be </w:t>
      </w:r>
      <w:r w:rsidR="00AB326E">
        <w:rPr>
          <w:sz w:val="22"/>
          <w:szCs w:val="22"/>
        </w:rPr>
        <w:t>sent</w:t>
      </w:r>
      <w:r>
        <w:rPr>
          <w:sz w:val="22"/>
          <w:szCs w:val="22"/>
        </w:rPr>
        <w:t xml:space="preserve"> </w:t>
      </w:r>
      <w:r w:rsidR="0014136C">
        <w:rPr>
          <w:sz w:val="22"/>
          <w:szCs w:val="22"/>
        </w:rPr>
        <w:t xml:space="preserve">to the </w:t>
      </w:r>
      <w:r w:rsidR="00491B4A">
        <w:rPr>
          <w:sz w:val="22"/>
          <w:szCs w:val="22"/>
        </w:rPr>
        <w:t>c</w:t>
      </w:r>
      <w:r w:rsidR="0014136C">
        <w:rPr>
          <w:sz w:val="22"/>
          <w:szCs w:val="22"/>
        </w:rPr>
        <w:t xml:space="preserve">ontracting </w:t>
      </w:r>
      <w:r w:rsidR="00491B4A">
        <w:rPr>
          <w:sz w:val="22"/>
          <w:szCs w:val="22"/>
        </w:rPr>
        <w:t>a</w:t>
      </w:r>
      <w:r w:rsidR="0014136C">
        <w:rPr>
          <w:sz w:val="22"/>
          <w:szCs w:val="22"/>
        </w:rPr>
        <w:t>uthority</w:t>
      </w:r>
      <w:r w:rsidRPr="002B370E">
        <w:rPr>
          <w:b/>
          <w:sz w:val="22"/>
          <w:szCs w:val="22"/>
        </w:rPr>
        <w:t xml:space="preserve"> </w:t>
      </w:r>
      <w:r w:rsidRPr="002B370E">
        <w:rPr>
          <w:sz w:val="22"/>
          <w:szCs w:val="22"/>
        </w:rPr>
        <w:t>before</w:t>
      </w:r>
      <w:r w:rsidR="0082031A">
        <w:rPr>
          <w:sz w:val="22"/>
          <w:szCs w:val="22"/>
        </w:rPr>
        <w:t xml:space="preserve"> </w:t>
      </w:r>
      <w:r w:rsidR="00FF3290" w:rsidRPr="00FF3290">
        <w:rPr>
          <w:b/>
          <w:sz w:val="22"/>
          <w:szCs w:val="22"/>
        </w:rPr>
        <w:t>01 October 2018 at 12:00</w:t>
      </w:r>
      <w:r w:rsidRPr="00FF3290">
        <w:rPr>
          <w:b/>
          <w:sz w:val="22"/>
          <w:szCs w:val="22"/>
        </w:rPr>
        <w:t>.</w:t>
      </w:r>
      <w:r w:rsidRPr="002B370E">
        <w:rPr>
          <w:sz w:val="22"/>
          <w:szCs w:val="22"/>
        </w:rPr>
        <w:t xml:space="preserve"> They must include the requested documents in clause 4 above and be s</w:t>
      </w:r>
      <w:r>
        <w:rPr>
          <w:sz w:val="22"/>
          <w:szCs w:val="22"/>
        </w:rPr>
        <w:t>ent</w:t>
      </w:r>
      <w:r w:rsidRPr="002B370E">
        <w:rPr>
          <w:sz w:val="22"/>
          <w:szCs w:val="22"/>
        </w:rPr>
        <w:t>:</w:t>
      </w:r>
    </w:p>
    <w:p w14:paraId="0A89868B" w14:textId="77777777" w:rsidR="003436FE" w:rsidRDefault="003436FE" w:rsidP="00D44374">
      <w:pPr>
        <w:keepNext/>
        <w:keepLines/>
        <w:numPr>
          <w:ilvl w:val="0"/>
          <w:numId w:val="39"/>
        </w:numPr>
        <w:spacing w:before="120" w:after="120"/>
        <w:jc w:val="both"/>
        <w:rPr>
          <w:sz w:val="22"/>
          <w:szCs w:val="22"/>
        </w:rPr>
      </w:pPr>
      <w:r w:rsidRPr="002B370E">
        <w:rPr>
          <w:b/>
          <w:sz w:val="22"/>
          <w:szCs w:val="22"/>
        </w:rPr>
        <w:lastRenderedPageBreak/>
        <w:t>EITHER</w:t>
      </w:r>
      <w:r w:rsidRPr="002B370E">
        <w:rPr>
          <w:sz w:val="22"/>
          <w:szCs w:val="22"/>
        </w:rPr>
        <w:t xml:space="preserve"> by </w:t>
      </w:r>
      <w:r w:rsidR="00D44374" w:rsidRPr="00D44374">
        <w:rPr>
          <w:sz w:val="22"/>
          <w:szCs w:val="22"/>
        </w:rPr>
        <w:t>post or by courier service, in which case the evidence shall be constituted by the postmark or the date of the deposit slip</w:t>
      </w:r>
      <w:r w:rsidR="000570D7">
        <w:rPr>
          <w:rStyle w:val="FootnoteReference"/>
          <w:sz w:val="22"/>
          <w:szCs w:val="22"/>
        </w:rPr>
        <w:footnoteReference w:id="2"/>
      </w:r>
      <w:r w:rsidR="00D44374" w:rsidRPr="00D44374">
        <w:rPr>
          <w:sz w:val="22"/>
          <w:szCs w:val="22"/>
        </w:rPr>
        <w:t xml:space="preserve">, </w:t>
      </w:r>
      <w:r w:rsidRPr="002B370E">
        <w:rPr>
          <w:sz w:val="22"/>
          <w:szCs w:val="22"/>
        </w:rPr>
        <w:t>to:</w:t>
      </w:r>
    </w:p>
    <w:p w14:paraId="58FB29AF" w14:textId="650BC17A" w:rsidR="00FF3290" w:rsidRPr="00FF3290" w:rsidRDefault="008E3D9F" w:rsidP="00FF3290">
      <w:pPr>
        <w:keepNext/>
        <w:keepLines/>
        <w:spacing w:before="120" w:after="120"/>
        <w:ind w:left="720"/>
        <w:jc w:val="center"/>
        <w:rPr>
          <w:b/>
          <w:sz w:val="22"/>
          <w:szCs w:val="22"/>
        </w:rPr>
      </w:pPr>
      <w:r>
        <w:rPr>
          <w:b/>
          <w:sz w:val="22"/>
          <w:szCs w:val="22"/>
        </w:rPr>
        <w:t>Project SYMBIOSIS</w:t>
      </w:r>
      <w:r>
        <w:rPr>
          <w:b/>
          <w:sz w:val="22"/>
          <w:szCs w:val="22"/>
        </w:rPr>
        <w:br/>
        <w:t xml:space="preserve">JP </w:t>
      </w:r>
      <w:proofErr w:type="spellStart"/>
      <w:r>
        <w:rPr>
          <w:b/>
          <w:sz w:val="22"/>
          <w:szCs w:val="22"/>
        </w:rPr>
        <w:t>Komunalec</w:t>
      </w:r>
      <w:proofErr w:type="spellEnd"/>
      <w:r w:rsidR="00FF3290">
        <w:rPr>
          <w:b/>
          <w:sz w:val="22"/>
          <w:szCs w:val="22"/>
        </w:rPr>
        <w:t xml:space="preserve"> </w:t>
      </w:r>
      <w:r w:rsidR="00FF3290">
        <w:rPr>
          <w:b/>
          <w:sz w:val="22"/>
          <w:szCs w:val="22"/>
        </w:rPr>
        <w:br/>
      </w:r>
      <w:r>
        <w:rPr>
          <w:b/>
          <w:sz w:val="22"/>
          <w:szCs w:val="22"/>
        </w:rPr>
        <w:t>St. 16 bb, 7000 Bitola</w:t>
      </w:r>
    </w:p>
    <w:p w14:paraId="367AF857" w14:textId="77777777"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w:t>
      </w:r>
      <w:r w:rsidR="00D44374" w:rsidRPr="005A61EC">
        <w:rPr>
          <w:sz w:val="22"/>
          <w:szCs w:val="22"/>
        </w:rPr>
        <w:t>by the participant in person or by an agent</w:t>
      </w:r>
      <w:r w:rsidR="00D44374" w:rsidRPr="00D225CC">
        <w:rPr>
          <w:rStyle w:val="Strong"/>
          <w:b w:val="0"/>
          <w:sz w:val="22"/>
          <w:szCs w:val="22"/>
        </w:rPr>
        <w:t xml:space="preserve"> directly</w:t>
      </w:r>
      <w:r w:rsidR="00D44374" w:rsidRPr="00D225CC">
        <w:rPr>
          <w:sz w:val="22"/>
          <w:szCs w:val="22"/>
        </w:rPr>
        <w:t xml:space="preserve"> to</w:t>
      </w:r>
      <w:r w:rsidR="00D44374">
        <w:rPr>
          <w:sz w:val="22"/>
          <w:szCs w:val="22"/>
        </w:rPr>
        <w:t xml:space="preserve"> the premises of</w:t>
      </w:r>
      <w:r w:rsidR="00D44374" w:rsidRPr="00D225CC">
        <w:rPr>
          <w:sz w:val="22"/>
          <w:szCs w:val="22"/>
        </w:rPr>
        <w:t xml:space="preserve"> the </w:t>
      </w:r>
      <w:r w:rsidR="00D44374">
        <w:rPr>
          <w:sz w:val="22"/>
          <w:szCs w:val="22"/>
        </w:rPr>
        <w:t>c</w:t>
      </w:r>
      <w:r w:rsidR="00D44374" w:rsidRPr="00D225CC">
        <w:rPr>
          <w:sz w:val="22"/>
          <w:szCs w:val="22"/>
        </w:rPr>
        <w:t xml:space="preserve">ontracting </w:t>
      </w:r>
      <w:r w:rsidR="00D44374">
        <w:rPr>
          <w:sz w:val="22"/>
          <w:szCs w:val="22"/>
        </w:rPr>
        <w:t>a</w:t>
      </w:r>
      <w:r w:rsidR="00D44374" w:rsidRPr="00D225CC">
        <w:rPr>
          <w:sz w:val="22"/>
          <w:szCs w:val="22"/>
        </w:rPr>
        <w:t>uthority</w:t>
      </w:r>
      <w:r w:rsidR="00D44374" w:rsidRPr="005A61EC">
        <w:rPr>
          <w:sz w:val="22"/>
          <w:szCs w:val="22"/>
        </w:rPr>
        <w:t xml:space="preserve"> </w:t>
      </w:r>
      <w:r w:rsidR="00D44374" w:rsidRPr="00D225CC">
        <w:rPr>
          <w:sz w:val="22"/>
          <w:szCs w:val="22"/>
        </w:rPr>
        <w:t xml:space="preserve">in return for a </w:t>
      </w:r>
      <w:r w:rsidR="00D44374" w:rsidRPr="00D225CC">
        <w:rPr>
          <w:rStyle w:val="Strong"/>
          <w:b w:val="0"/>
          <w:sz w:val="22"/>
          <w:szCs w:val="22"/>
        </w:rPr>
        <w:t>signed and dated receipt</w:t>
      </w:r>
      <w:r w:rsidR="00D44374" w:rsidRPr="005A61EC">
        <w:rPr>
          <w:sz w:val="22"/>
          <w:szCs w:val="22"/>
        </w:rPr>
        <w:t>, in which case the evid</w:t>
      </w:r>
      <w:r w:rsidR="00D44374">
        <w:rPr>
          <w:sz w:val="22"/>
          <w:szCs w:val="22"/>
        </w:rPr>
        <w:t xml:space="preserve">ence shall be constituted by this acknowledgement of receipt, </w:t>
      </w:r>
      <w:r w:rsidRPr="002B370E">
        <w:rPr>
          <w:sz w:val="22"/>
          <w:szCs w:val="22"/>
        </w:rPr>
        <w:t>to:</w:t>
      </w:r>
    </w:p>
    <w:p w14:paraId="2695EC50" w14:textId="3EF3A0AC" w:rsidR="00FF3290" w:rsidRPr="00FF3290" w:rsidRDefault="008E3D9F" w:rsidP="00FF3290">
      <w:pPr>
        <w:keepNext/>
        <w:keepLines/>
        <w:spacing w:before="120" w:after="120"/>
        <w:ind w:left="720"/>
        <w:jc w:val="center"/>
        <w:rPr>
          <w:b/>
          <w:sz w:val="22"/>
          <w:szCs w:val="22"/>
        </w:rPr>
      </w:pPr>
      <w:r>
        <w:rPr>
          <w:b/>
          <w:sz w:val="22"/>
          <w:szCs w:val="22"/>
        </w:rPr>
        <w:t>Project SYMBIOSIS</w:t>
      </w:r>
      <w:r>
        <w:rPr>
          <w:b/>
          <w:sz w:val="22"/>
          <w:szCs w:val="22"/>
        </w:rPr>
        <w:br/>
        <w:t>J</w:t>
      </w:r>
      <w:r w:rsidR="00FF3290">
        <w:rPr>
          <w:b/>
          <w:sz w:val="22"/>
          <w:szCs w:val="22"/>
        </w:rPr>
        <w:t xml:space="preserve">P </w:t>
      </w:r>
      <w:proofErr w:type="spellStart"/>
      <w:r w:rsidR="00FF3290">
        <w:rPr>
          <w:b/>
          <w:sz w:val="22"/>
          <w:szCs w:val="22"/>
        </w:rPr>
        <w:t>Komunal</w:t>
      </w:r>
      <w:r>
        <w:rPr>
          <w:b/>
          <w:sz w:val="22"/>
          <w:szCs w:val="22"/>
        </w:rPr>
        <w:t>ec</w:t>
      </w:r>
      <w:proofErr w:type="spellEnd"/>
      <w:r w:rsidR="00FF3290">
        <w:rPr>
          <w:b/>
          <w:sz w:val="22"/>
          <w:szCs w:val="22"/>
        </w:rPr>
        <w:t xml:space="preserve"> </w:t>
      </w:r>
      <w:r w:rsidR="00FF3290">
        <w:rPr>
          <w:b/>
          <w:sz w:val="22"/>
          <w:szCs w:val="22"/>
        </w:rPr>
        <w:br/>
      </w:r>
      <w:r>
        <w:rPr>
          <w:b/>
          <w:sz w:val="22"/>
          <w:szCs w:val="22"/>
        </w:rPr>
        <w:t>St. 16 bb, 7000 Bitola</w:t>
      </w:r>
    </w:p>
    <w:p w14:paraId="60977035" w14:textId="77777777" w:rsidR="003436FE" w:rsidRDefault="003436FE" w:rsidP="003436FE">
      <w:pPr>
        <w:pStyle w:val="Blockquote"/>
        <w:spacing w:before="120" w:after="120"/>
        <w:jc w:val="center"/>
        <w:rPr>
          <w:rStyle w:val="Emphasis"/>
          <w:i w:val="0"/>
          <w:sz w:val="22"/>
          <w:szCs w:val="22"/>
          <w:lang w:val="en-GB"/>
        </w:rPr>
      </w:pPr>
    </w:p>
    <w:p w14:paraId="2CB89578" w14:textId="77777777" w:rsidR="00D44374" w:rsidRDefault="003436FE" w:rsidP="003436FE">
      <w:pPr>
        <w:spacing w:before="120" w:after="120"/>
        <w:jc w:val="both"/>
        <w:rPr>
          <w:rStyle w:val="Strong"/>
          <w:sz w:val="22"/>
          <w:szCs w:val="22"/>
        </w:rPr>
      </w:pPr>
      <w:r w:rsidRPr="002B370E">
        <w:rPr>
          <w:rStyle w:val="Strong"/>
          <w:sz w:val="22"/>
          <w:szCs w:val="22"/>
        </w:rPr>
        <w:t xml:space="preserve">Tenders submitted by any other means will not be considered. </w:t>
      </w:r>
    </w:p>
    <w:p w14:paraId="404AEBDE" w14:textId="77777777" w:rsidR="007B7D7B" w:rsidRPr="00FF3290" w:rsidRDefault="007B7D7B" w:rsidP="00FF3290">
      <w:pPr>
        <w:pStyle w:val="Blockquote"/>
        <w:ind w:left="0" w:right="26"/>
        <w:jc w:val="both"/>
        <w:rPr>
          <w:rStyle w:val="Strong"/>
          <w:b w:val="0"/>
          <w:sz w:val="22"/>
          <w:szCs w:val="22"/>
          <w:lang w:val="en-GB"/>
        </w:rPr>
      </w:pPr>
      <w:r>
        <w:rPr>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1547843C" w14:textId="77777777" w:rsidR="003436FE" w:rsidRPr="002B370E" w:rsidRDefault="003436FE" w:rsidP="003436FE">
      <w:pPr>
        <w:spacing w:before="120" w:after="120"/>
        <w:jc w:val="both"/>
        <w:rPr>
          <w:sz w:val="22"/>
          <w:szCs w:val="22"/>
        </w:rPr>
      </w:pP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xml:space="preserve">. All parts of the tender other than the financial offer must be submitted in Envelope A (i.e. including the </w:t>
      </w:r>
      <w:r w:rsidR="00543D27">
        <w:rPr>
          <w:sz w:val="22"/>
          <w:szCs w:val="22"/>
        </w:rPr>
        <w:t>t</w:t>
      </w:r>
      <w:r w:rsidRPr="002B370E">
        <w:rPr>
          <w:sz w:val="22"/>
          <w:szCs w:val="22"/>
        </w:rPr>
        <w:t>ender submission form, statements of exclusivity and availability of the key experts and declarations).</w:t>
      </w:r>
    </w:p>
    <w:p w14:paraId="73A8AA71" w14:textId="77777777"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14:paraId="289F972E"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14:paraId="0D77895E" w14:textId="47B1AB13"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00FF3290">
        <w:rPr>
          <w:sz w:val="22"/>
          <w:szCs w:val="22"/>
        </w:rPr>
        <w:t xml:space="preserve"> </w:t>
      </w:r>
      <w:r w:rsidR="00FF3290">
        <w:t>SYM-</w:t>
      </w:r>
      <w:r w:rsidR="008E3D9F">
        <w:t>BIT</w:t>
      </w:r>
      <w:r w:rsidR="00FF3290">
        <w:t>-1)</w:t>
      </w:r>
    </w:p>
    <w:p w14:paraId="3DDDA3D4"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words </w:t>
      </w:r>
      <w:r>
        <w:rPr>
          <w:sz w:val="22"/>
          <w:szCs w:val="22"/>
        </w:rPr>
        <w:t>‘</w:t>
      </w:r>
      <w:r w:rsidRPr="002B370E">
        <w:rPr>
          <w:sz w:val="22"/>
          <w:szCs w:val="22"/>
        </w:rPr>
        <w:t>Not to be opened before the tender-opening session</w:t>
      </w:r>
      <w:r>
        <w:rPr>
          <w:sz w:val="22"/>
          <w:szCs w:val="22"/>
        </w:rPr>
        <w:t>’</w:t>
      </w:r>
      <w:r w:rsidRPr="002B370E">
        <w:rPr>
          <w:sz w:val="22"/>
          <w:szCs w:val="22"/>
        </w:rPr>
        <w:t xml:space="preserve"> and </w:t>
      </w:r>
      <w:r w:rsidR="00FF3290">
        <w:rPr>
          <w:sz w:val="22"/>
          <w:szCs w:val="22"/>
        </w:rPr>
        <w:t>‘</w:t>
      </w:r>
      <w:r w:rsidR="00FF3290">
        <w:rPr>
          <w:sz w:val="22"/>
          <w:szCs w:val="22"/>
          <w:lang w:val="mk-MK"/>
        </w:rPr>
        <w:t>Да не се отвара пред денот на отворање на понудите</w:t>
      </w:r>
      <w:r w:rsidR="00FF3290">
        <w:rPr>
          <w:sz w:val="22"/>
          <w:szCs w:val="22"/>
          <w:lang w:val="en-US"/>
        </w:rPr>
        <w:t>’</w:t>
      </w:r>
      <w:r w:rsidRPr="002B370E">
        <w:rPr>
          <w:sz w:val="22"/>
          <w:szCs w:val="22"/>
        </w:rPr>
        <w:t>;</w:t>
      </w:r>
    </w:p>
    <w:p w14:paraId="7AE2DD32"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14:paraId="6C4CB78E" w14:textId="77777777" w:rsidR="003436FE" w:rsidRPr="002B370E" w:rsidRDefault="003436FE" w:rsidP="003436FE">
      <w:pPr>
        <w:spacing w:before="120" w:after="120"/>
        <w:jc w:val="both"/>
        <w:rPr>
          <w:sz w:val="22"/>
          <w:szCs w:val="22"/>
        </w:rPr>
      </w:pPr>
      <w:r w:rsidRPr="002B370E">
        <w:rPr>
          <w:sz w:val="22"/>
          <w:szCs w:val="22"/>
        </w:rPr>
        <w:t xml:space="preserve">The pages of the </w:t>
      </w:r>
      <w:r w:rsidR="00543D27">
        <w:rPr>
          <w:sz w:val="22"/>
          <w:szCs w:val="22"/>
        </w:rPr>
        <w:t>t</w:t>
      </w:r>
      <w:r w:rsidRPr="002B370E">
        <w:rPr>
          <w:sz w:val="22"/>
          <w:szCs w:val="22"/>
        </w:rPr>
        <w:t xml:space="preserve">echnical and </w:t>
      </w:r>
      <w:r w:rsidR="00543D27">
        <w:rPr>
          <w:sz w:val="22"/>
          <w:szCs w:val="22"/>
        </w:rPr>
        <w:t>f</w:t>
      </w:r>
      <w:r w:rsidRPr="002B370E">
        <w:rPr>
          <w:sz w:val="22"/>
          <w:szCs w:val="22"/>
        </w:rPr>
        <w:t>inancial offers must be numbered.</w:t>
      </w:r>
    </w:p>
    <w:p w14:paraId="562AAE1B"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3E6634D3" w14:textId="77777777"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14:paraId="72055585" w14:textId="77777777" w:rsidR="003436FE" w:rsidRPr="002B370E" w:rsidRDefault="003436FE" w:rsidP="003436FE">
      <w:pPr>
        <w:spacing w:before="120" w:after="120"/>
        <w:jc w:val="both"/>
        <w:rPr>
          <w:sz w:val="22"/>
          <w:szCs w:val="22"/>
        </w:rPr>
      </w:pPr>
      <w:r w:rsidRPr="002B370E">
        <w:rPr>
          <w:sz w:val="22"/>
          <w:szCs w:val="22"/>
        </w:rPr>
        <w:lastRenderedPageBreak/>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14:paraId="51AECB79"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14:paraId="39C0BA0C"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31AE3713"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0383B025"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6E091F8E"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6F0C798D"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4CA016E0"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349A6492" w14:textId="77777777" w:rsidR="003436FE" w:rsidRDefault="003436FE" w:rsidP="00A94AD3">
      <w:pPr>
        <w:pStyle w:val="BodyText"/>
        <w:spacing w:before="120" w:after="120"/>
        <w:jc w:val="both"/>
        <w:rPr>
          <w:sz w:val="22"/>
          <w:szCs w:val="22"/>
        </w:rPr>
      </w:pPr>
      <w:r w:rsidRPr="002B370E">
        <w:rPr>
          <w:sz w:val="22"/>
          <w:szCs w:val="22"/>
        </w:rPr>
        <w:t xml:space="preserve">The evaluation of the technical offers will follow the procedures set out in Section 3.3.10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10" w:history="1">
        <w:r w:rsidR="00996707" w:rsidRPr="005D1583">
          <w:rPr>
            <w:rStyle w:val="Hyperlink"/>
            <w:sz w:val="22"/>
            <w:szCs w:val="22"/>
          </w:rPr>
          <w:t>http://ec.europa.eu/europeaid/prag/document.do</w:t>
        </w:r>
      </w:hyperlink>
      <w:r w:rsidRPr="0059570B">
        <w:rPr>
          <w:sz w:val="22"/>
          <w:szCs w:val="22"/>
        </w:rPr>
        <w:t>).</w:t>
      </w:r>
    </w:p>
    <w:p w14:paraId="2210FCAC" w14:textId="77777777"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00BA1ED7" w14:textId="77777777" w:rsidR="00294800" w:rsidRPr="00294800" w:rsidRDefault="00294800" w:rsidP="00294800">
      <w:pPr>
        <w:spacing w:before="120" w:after="120"/>
        <w:jc w:val="both"/>
        <w:rPr>
          <w:sz w:val="22"/>
          <w:szCs w:val="22"/>
        </w:rPr>
      </w:pPr>
      <w:r w:rsidRPr="0048757D">
        <w:rPr>
          <w:sz w:val="22"/>
          <w:szCs w:val="22"/>
        </w:rPr>
        <w:t>No interviews are foreseen.</w:t>
      </w:r>
    </w:p>
    <w:p w14:paraId="7F3DD519"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02252CBA" w14:textId="77777777"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t>with</w:t>
      </w:r>
      <w:r w:rsidRPr="002B370E">
        <w:rPr>
          <w:sz w:val="22"/>
          <w:szCs w:val="22"/>
        </w:rPr>
        <w:t xml:space="preserve"> an average score of </w:t>
      </w:r>
      <w:r w:rsidR="00BF0BD3">
        <w:rPr>
          <w:sz w:val="22"/>
          <w:szCs w:val="22"/>
        </w:rPr>
        <w:t>75</w:t>
      </w:r>
      <w:r w:rsidR="00BF0BD3" w:rsidRPr="002B370E">
        <w:rPr>
          <w:sz w:val="22"/>
          <w:szCs w:val="22"/>
        </w:rPr>
        <w:t xml:space="preserve"> </w:t>
      </w:r>
      <w:r w:rsidRPr="002B370E">
        <w:rPr>
          <w:sz w:val="22"/>
          <w:szCs w:val="22"/>
        </w:rPr>
        <w:t xml:space="preserve">points or more). Tenders exceeding the maximum budget available for the contract </w:t>
      </w:r>
      <w:r w:rsidR="0022643A">
        <w:rPr>
          <w:sz w:val="22"/>
          <w:szCs w:val="22"/>
        </w:rPr>
        <w:t xml:space="preserve">are unacceptable and </w:t>
      </w:r>
      <w:r w:rsidRPr="002B370E">
        <w:rPr>
          <w:sz w:val="22"/>
          <w:szCs w:val="22"/>
        </w:rPr>
        <w:t>will be eliminated.</w:t>
      </w:r>
    </w:p>
    <w:p w14:paraId="67319856"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74AE00FF"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52691ABD" w14:textId="77777777"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2533B847"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4C3139AF"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14:paraId="177EC9C4"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760F19D9" w14:textId="77777777" w:rsidR="00121005" w:rsidRDefault="00121005" w:rsidP="003436FE">
      <w:pPr>
        <w:spacing w:before="120" w:after="120"/>
        <w:ind w:left="567" w:hanging="567"/>
        <w:jc w:val="both"/>
        <w:rPr>
          <w:sz w:val="22"/>
          <w:szCs w:val="22"/>
        </w:rPr>
      </w:pPr>
      <w:r>
        <w:rPr>
          <w:sz w:val="22"/>
          <w:szCs w:val="22"/>
        </w:rPr>
        <w:lastRenderedPageBreak/>
        <w:t xml:space="preserve">         </w:t>
      </w: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3C5F9C22"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3AF59965"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 The tenderer and its staff must comply with human rights.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7B0A97BF"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Pr>
          <w:sz w:val="22"/>
          <w:szCs w:val="22"/>
        </w:rPr>
        <w:t xml:space="preserve">          </w:t>
      </w:r>
      <w:r w:rsidRPr="009A733A">
        <w:rPr>
          <w:b/>
          <w:sz w:val="22"/>
          <w:szCs w:val="22"/>
        </w:rPr>
        <w:t>Zero tolerance for sexual exploitation and sexual abuse:</w:t>
      </w:r>
    </w:p>
    <w:p w14:paraId="606C7558"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 xml:space="preserve">The European Commission applies a policy of 'zero tolerance' in relation to all wrongful conduct which has an impact on the professional credibility of the tenderer. </w:t>
      </w:r>
    </w:p>
    <w:p w14:paraId="3BDE8DA8"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Physical abuse or punishment, or threats of physical abuse, sexual abuse or exploitation, harassment and verbal abuse, as well as other forms of intimidation shall be prohibited.</w:t>
      </w:r>
    </w:p>
    <w:p w14:paraId="63ED33F4" w14:textId="77777777" w:rsidR="00121005" w:rsidRDefault="00121005" w:rsidP="003436FE">
      <w:pPr>
        <w:spacing w:before="120" w:after="120"/>
        <w:ind w:left="567" w:hanging="567"/>
        <w:jc w:val="both"/>
        <w:rPr>
          <w:sz w:val="22"/>
          <w:szCs w:val="22"/>
        </w:rPr>
      </w:pPr>
      <w:r w:rsidRPr="002B370E" w:rsidDel="00121005">
        <w:rPr>
          <w:sz w:val="22"/>
          <w:szCs w:val="22"/>
        </w:rPr>
        <w:t xml:space="preserve"> </w:t>
      </w:r>
      <w:r w:rsidR="003436FE" w:rsidRPr="002B370E">
        <w:rPr>
          <w:sz w:val="22"/>
          <w:szCs w:val="22"/>
        </w:rPr>
        <w:t>c)</w:t>
      </w:r>
      <w:r w:rsidR="003436FE" w:rsidRPr="002B370E">
        <w:rPr>
          <w:sz w:val="22"/>
          <w:szCs w:val="22"/>
        </w:rPr>
        <w:tab/>
      </w:r>
      <w:r w:rsidRPr="009A733A">
        <w:rPr>
          <w:sz w:val="22"/>
          <w:szCs w:val="22"/>
          <w:u w:val="single"/>
        </w:rPr>
        <w:t>Anti-corruption and anti-bribery</w:t>
      </w:r>
      <w:r w:rsidRPr="00121005">
        <w:rPr>
          <w:sz w:val="22"/>
          <w:szCs w:val="22"/>
        </w:rPr>
        <w:t xml:space="preserve"> </w:t>
      </w:r>
    </w:p>
    <w:p w14:paraId="1DEF1440" w14:textId="77777777" w:rsidR="003436FE" w:rsidRPr="002B370E" w:rsidRDefault="00121005" w:rsidP="003436FE">
      <w:pPr>
        <w:spacing w:before="120" w:after="120"/>
        <w:ind w:left="567" w:hanging="567"/>
        <w:jc w:val="both"/>
        <w:rPr>
          <w:sz w:val="22"/>
          <w:szCs w:val="22"/>
        </w:rPr>
      </w:pPr>
      <w:r>
        <w:rPr>
          <w:sz w:val="22"/>
          <w:szCs w:val="22"/>
        </w:rPr>
        <w:t xml:space="preserve">          </w:t>
      </w: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77E89158"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301CE2B8" w14:textId="77777777" w:rsidR="00121005" w:rsidRPr="00121005" w:rsidRDefault="00121005" w:rsidP="00121005">
      <w:pPr>
        <w:spacing w:before="120" w:after="120"/>
        <w:ind w:left="567" w:hanging="567"/>
        <w:jc w:val="both"/>
        <w:rPr>
          <w:sz w:val="22"/>
          <w:szCs w:val="22"/>
        </w:rPr>
      </w:pPr>
      <w:r>
        <w:rPr>
          <w:sz w:val="22"/>
          <w:szCs w:val="22"/>
        </w:rPr>
        <w:t xml:space="preserve">         </w:t>
      </w: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5F326929" w14:textId="77777777" w:rsidR="003436FE" w:rsidRPr="002B370E" w:rsidRDefault="00121005" w:rsidP="009A733A">
      <w:pPr>
        <w:spacing w:before="120" w:after="120"/>
        <w:ind w:left="567" w:hanging="567"/>
        <w:jc w:val="both"/>
        <w:rPr>
          <w:sz w:val="22"/>
          <w:szCs w:val="22"/>
        </w:rPr>
      </w:pPr>
      <w:r>
        <w:rPr>
          <w:sz w:val="22"/>
          <w:szCs w:val="22"/>
        </w:rPr>
        <w:t xml:space="preserve">          </w:t>
      </w: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2BF92C34"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1121865C" w14:textId="77777777" w:rsidR="003436FE" w:rsidRPr="002B370E" w:rsidRDefault="00121005" w:rsidP="003436FE">
      <w:pPr>
        <w:spacing w:before="120" w:after="120"/>
        <w:ind w:left="567" w:hanging="567"/>
        <w:jc w:val="both"/>
        <w:rPr>
          <w:sz w:val="22"/>
          <w:szCs w:val="22"/>
        </w:rPr>
      </w:pPr>
      <w:r>
        <w:rPr>
          <w:sz w:val="22"/>
          <w:szCs w:val="22"/>
          <w:u w:val="single"/>
        </w:rPr>
        <w:lastRenderedPageBreak/>
        <w:t xml:space="preserve">         </w:t>
      </w:r>
      <w:r w:rsidR="003436FE" w:rsidRPr="002B370E">
        <w:rPr>
          <w:sz w:val="22"/>
          <w:szCs w:val="22"/>
        </w:rPr>
        <w:t xml:space="preserve">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003436FE" w:rsidRPr="002B370E">
        <w:rPr>
          <w:sz w:val="22"/>
          <w:szCs w:val="22"/>
        </w:rPr>
        <w:t xml:space="preserve">, irregularities or fraud. </w:t>
      </w:r>
      <w:r w:rsidR="003436FE">
        <w:rPr>
          <w:sz w:val="22"/>
          <w:szCs w:val="22"/>
        </w:rPr>
        <w:t>If</w:t>
      </w:r>
      <w:r w:rsidR="003436FE" w:rsidRPr="002B370E">
        <w:rPr>
          <w:sz w:val="22"/>
          <w:szCs w:val="22"/>
        </w:rPr>
        <w:t xml:space="preserve"> </w:t>
      </w:r>
      <w:r w:rsidR="00C52EDE">
        <w:rPr>
          <w:sz w:val="22"/>
          <w:szCs w:val="22"/>
        </w:rPr>
        <w:t>breach of obligations</w:t>
      </w:r>
      <w:r w:rsidR="003436FE" w:rsidRPr="002B370E">
        <w:rPr>
          <w:sz w:val="22"/>
          <w:szCs w:val="22"/>
        </w:rPr>
        <w:t xml:space="preserve">, irregularities or fraud are discovered after the award of the </w:t>
      </w:r>
      <w:r w:rsidR="00491B4A">
        <w:rPr>
          <w:sz w:val="22"/>
          <w:szCs w:val="22"/>
        </w:rPr>
        <w:t>c</w:t>
      </w:r>
      <w:r w:rsidR="003436FE" w:rsidRPr="002B370E">
        <w:rPr>
          <w:sz w:val="22"/>
          <w:szCs w:val="22"/>
        </w:rPr>
        <w:t xml:space="preserve">ontract, 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may refrain from concluding the </w:t>
      </w:r>
      <w:r w:rsidR="00491B4A">
        <w:rPr>
          <w:sz w:val="22"/>
          <w:szCs w:val="22"/>
        </w:rPr>
        <w:t>c</w:t>
      </w:r>
      <w:r w:rsidR="003436FE" w:rsidRPr="002B370E">
        <w:rPr>
          <w:sz w:val="22"/>
          <w:szCs w:val="22"/>
        </w:rPr>
        <w:t>ontract.</w:t>
      </w:r>
    </w:p>
    <w:p w14:paraId="4E2C2521"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0E993530"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269A2FE1" w14:textId="77777777"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14:paraId="042BA27C"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19051710"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30 days of receipt of the contract already signed by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the selected tenderer shall sign and date the contract and return it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w:t>
      </w:r>
    </w:p>
    <w:p w14:paraId="73527423"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award the tender to another tenderer or cancel the tender procedure. </w:t>
      </w:r>
    </w:p>
    <w:p w14:paraId="3D3E4CD0" w14:textId="77777777"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w:t>
      </w:r>
      <w:r w:rsidR="0022643A">
        <w:rPr>
          <w:sz w:val="22"/>
          <w:szCs w:val="22"/>
        </w:rPr>
        <w:t>retained</w:t>
      </w:r>
      <w:r w:rsidRPr="002B370E">
        <w:rPr>
          <w:sz w:val="22"/>
          <w:szCs w:val="22"/>
        </w:rPr>
        <w:t xml:space="preserve">, by </w:t>
      </w:r>
      <w:r w:rsidR="0022643A">
        <w:rPr>
          <w:sz w:val="22"/>
          <w:szCs w:val="22"/>
        </w:rPr>
        <w:t>electronic</w:t>
      </w:r>
      <w:r w:rsidR="0022643A" w:rsidRPr="002B370E">
        <w:rPr>
          <w:sz w:val="22"/>
          <w:szCs w:val="22"/>
        </w:rPr>
        <w:t xml:space="preserve"> </w:t>
      </w:r>
      <w:r w:rsidRPr="002B370E">
        <w:rPr>
          <w:sz w:val="22"/>
          <w:szCs w:val="22"/>
        </w:rPr>
        <w:t>means o</w:t>
      </w:r>
      <w:r w:rsidR="0022643A">
        <w:rPr>
          <w:sz w:val="22"/>
          <w:szCs w:val="22"/>
        </w:rPr>
        <w:t>r</w:t>
      </w:r>
      <w:r w:rsidRPr="002B370E">
        <w:rPr>
          <w:sz w:val="22"/>
          <w:szCs w:val="22"/>
        </w:rPr>
        <w:t xml:space="preserve">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14:paraId="1A15A932" w14:textId="77777777" w:rsidR="00F11E9B" w:rsidRPr="00F11E9B" w:rsidRDefault="00F11E9B" w:rsidP="00F11E9B">
      <w:pPr>
        <w:pStyle w:val="Style11ptJustifiedAfter12pt"/>
      </w:pPr>
      <w:r w:rsidRPr="00083096">
        <w:rPr>
          <w:rStyle w:val="Style11pt"/>
        </w:rPr>
        <w:t xml:space="preserve">The </w:t>
      </w:r>
      <w:r w:rsidR="00491B4A">
        <w:rPr>
          <w:rStyle w:val="Style11pt"/>
        </w:rPr>
        <w:t>c</w:t>
      </w:r>
      <w:r w:rsidRPr="00083096">
        <w:rPr>
          <w:rStyle w:val="Style11pt"/>
        </w:rPr>
        <w:t xml:space="preserve">ontracting </w:t>
      </w:r>
      <w:r w:rsidR="00491B4A">
        <w:rPr>
          <w:rStyle w:val="Style11pt"/>
        </w:rPr>
        <w:t>a</w:t>
      </w:r>
      <w:r w:rsidRPr="00083096">
        <w:rPr>
          <w:rStyle w:val="Style11pt"/>
        </w:rPr>
        <w:t xml:space="preserve">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14:paraId="4C08B0A4"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14:paraId="046D5661"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will notify tenderers of the cancellation. If the tender procedure is cancelled before the outer envelope of any tender has been opened, the unopened and sealed envelopes will be returned to the tenderers.</w:t>
      </w:r>
    </w:p>
    <w:p w14:paraId="71976FB2"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59A50329"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2A7733B5"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3A076B3D"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49A9DDC0"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14ACD962"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w:t>
      </w:r>
      <w:r w:rsidR="00C52EDE">
        <w:rPr>
          <w:sz w:val="22"/>
          <w:szCs w:val="22"/>
        </w:rPr>
        <w:t>breach of obligations</w:t>
      </w:r>
      <w:r w:rsidR="0022643A">
        <w:rPr>
          <w:sz w:val="22"/>
          <w:szCs w:val="22"/>
        </w:rPr>
        <w:t>,</w:t>
      </w:r>
      <w:r w:rsidR="0022643A" w:rsidRPr="002B370E">
        <w:rPr>
          <w:sz w:val="22"/>
          <w:szCs w:val="22"/>
        </w:rPr>
        <w:t xml:space="preserve"> </w:t>
      </w:r>
      <w:r w:rsidRPr="002B370E">
        <w:rPr>
          <w:sz w:val="22"/>
          <w:szCs w:val="22"/>
        </w:rPr>
        <w:t>irregularities</w:t>
      </w:r>
      <w:r w:rsidR="0022643A" w:rsidRPr="0022643A">
        <w:rPr>
          <w:sz w:val="22"/>
          <w:szCs w:val="22"/>
        </w:rPr>
        <w:t xml:space="preserve"> </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461C34C8"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lastRenderedPageBreak/>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4321AEA1"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0022643A" w:rsidRPr="002B370E" w:rsidDel="0022643A">
        <w:rPr>
          <w:bCs/>
          <w:sz w:val="22"/>
          <w:szCs w:val="22"/>
        </w:rPr>
        <w:t xml:space="preserve"> </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7E352562"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14:paraId="57E82B11" w14:textId="77777777" w:rsidR="003436FE" w:rsidRPr="002B370E" w:rsidRDefault="003436FE" w:rsidP="0048757D">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 xml:space="preserve">uide. </w:t>
      </w:r>
    </w:p>
    <w:sectPr w:rsidR="003436FE" w:rsidRPr="002B370E" w:rsidSect="003436F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361D" w14:textId="77777777" w:rsidR="00EF069F" w:rsidRDefault="00EF069F">
      <w:r>
        <w:separator/>
      </w:r>
    </w:p>
  </w:endnote>
  <w:endnote w:type="continuationSeparator" w:id="0">
    <w:p w14:paraId="3B19E9CB" w14:textId="77777777" w:rsidR="00EF069F" w:rsidRDefault="00EF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5B6D"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D774B06" w14:textId="77777777" w:rsidR="00C06F58" w:rsidRDefault="00C0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C071" w14:textId="77777777" w:rsidR="00C06F58" w:rsidRPr="00A94AD3" w:rsidRDefault="001E5AB3" w:rsidP="009A733A">
    <w:pPr>
      <w:pStyle w:val="Footer"/>
      <w:tabs>
        <w:tab w:val="clear" w:pos="4320"/>
        <w:tab w:val="clear" w:pos="8640"/>
        <w:tab w:val="right" w:pos="8080"/>
      </w:tabs>
      <w:spacing w:before="120"/>
      <w:rPr>
        <w:rStyle w:val="PageNumber"/>
        <w:sz w:val="18"/>
        <w:szCs w:val="18"/>
      </w:rPr>
    </w:pPr>
    <w:r w:rsidRPr="002A00A4">
      <w:rPr>
        <w:b/>
      </w:rPr>
      <w:t>August 2018</w:t>
    </w:r>
    <w:r>
      <w:t xml:space="preserve"> </w:t>
    </w:r>
    <w:r w:rsidR="00C06F58" w:rsidRPr="002B370E">
      <w:rPr>
        <w:rFonts w:ascii="Arial" w:hAnsi="Arial"/>
      </w:rPr>
      <w:tab/>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9A733A">
      <w:rPr>
        <w:rStyle w:val="PageNumber"/>
        <w:noProof/>
        <w:sz w:val="18"/>
        <w:szCs w:val="18"/>
      </w:rPr>
      <w:t>7</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9A733A">
      <w:rPr>
        <w:rStyle w:val="PageNumber"/>
        <w:noProof/>
        <w:sz w:val="18"/>
        <w:szCs w:val="18"/>
      </w:rPr>
      <w:t>15</w:t>
    </w:r>
    <w:r w:rsidR="00C06F58" w:rsidRPr="00A94AD3">
      <w:rPr>
        <w:rStyle w:val="PageNumber"/>
        <w:sz w:val="18"/>
        <w:szCs w:val="18"/>
      </w:rPr>
      <w:fldChar w:fldCharType="end"/>
    </w:r>
  </w:p>
  <w:p w14:paraId="12AD95DB" w14:textId="77777777" w:rsidR="00C06F58" w:rsidRPr="00A94AD3" w:rsidRDefault="00C06F58" w:rsidP="003436FE">
    <w:pPr>
      <w:pStyle w:val="Footer"/>
      <w:tabs>
        <w:tab w:val="clear" w:pos="4320"/>
        <w:tab w:val="clear" w:pos="8640"/>
        <w:tab w:val="right" w:pos="8080"/>
      </w:tabs>
      <w:rPr>
        <w:sz w:val="18"/>
        <w:szCs w:val="18"/>
      </w:rPr>
    </w:pPr>
    <w:r w:rsidRPr="00A94AD3">
      <w:rPr>
        <w:sz w:val="18"/>
        <w:szCs w:val="18"/>
      </w:rPr>
      <w:fldChar w:fldCharType="begin"/>
    </w:r>
    <w:r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57AD" w14:textId="77777777" w:rsidR="00C06F58" w:rsidRPr="002B370E" w:rsidRDefault="001E5AB3" w:rsidP="009A733A">
    <w:pPr>
      <w:pStyle w:val="Footer"/>
      <w:tabs>
        <w:tab w:val="clear" w:pos="4320"/>
        <w:tab w:val="clear" w:pos="8640"/>
        <w:tab w:val="right" w:pos="8080"/>
      </w:tabs>
      <w:spacing w:before="120"/>
      <w:rPr>
        <w:rStyle w:val="PageNumber"/>
        <w:sz w:val="18"/>
        <w:szCs w:val="18"/>
      </w:rPr>
    </w:pPr>
    <w:r w:rsidRPr="002A00A4">
      <w:rPr>
        <w:b/>
      </w:rPr>
      <w:t>August 2018</w:t>
    </w:r>
    <w:r>
      <w:t xml:space="preserve"> </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9A733A">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9A733A">
      <w:rPr>
        <w:rStyle w:val="PageNumber"/>
        <w:noProof/>
        <w:sz w:val="18"/>
        <w:szCs w:val="18"/>
      </w:rPr>
      <w:t>15</w:t>
    </w:r>
    <w:r w:rsidR="00C06F58" w:rsidRPr="002B370E">
      <w:rPr>
        <w:rStyle w:val="PageNumber"/>
        <w:sz w:val="18"/>
        <w:szCs w:val="18"/>
      </w:rPr>
      <w:fldChar w:fldCharType="end"/>
    </w:r>
    <w:bookmarkStart w:id="5" w:name="_Hlt26943623"/>
    <w:bookmarkEnd w:id="5"/>
  </w:p>
  <w:p w14:paraId="749E56E5" w14:textId="77777777"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91ECB" w14:textId="77777777" w:rsidR="00EF069F" w:rsidRDefault="00EF069F">
      <w:r>
        <w:separator/>
      </w:r>
    </w:p>
  </w:footnote>
  <w:footnote w:type="continuationSeparator" w:id="0">
    <w:p w14:paraId="5CF7BB67" w14:textId="77777777" w:rsidR="00EF069F" w:rsidRDefault="00EF069F">
      <w:r>
        <w:continuationSeparator/>
      </w:r>
    </w:p>
  </w:footnote>
  <w:footnote w:id="1">
    <w:p w14:paraId="42BF46A8" w14:textId="77777777" w:rsidR="000D135C" w:rsidRPr="000D135C" w:rsidRDefault="000D135C">
      <w:pPr>
        <w:pStyle w:val="FootnoteText"/>
      </w:pPr>
      <w:r>
        <w:rPr>
          <w:rStyle w:val="FootnoteReference"/>
        </w:rPr>
        <w:footnoteRef/>
      </w:r>
      <w:r>
        <w:t xml:space="preserve"> See PRAG 2.6.10.1.3 A)</w:t>
      </w:r>
    </w:p>
  </w:footnote>
  <w:footnote w:id="2">
    <w:p w14:paraId="3F066DE7" w14:textId="77777777" w:rsidR="000570D7" w:rsidRPr="00C71FC9" w:rsidRDefault="000570D7" w:rsidP="000570D7">
      <w:pPr>
        <w:pStyle w:val="FootnoteText"/>
      </w:pPr>
      <w:r>
        <w:rPr>
          <w:rStyle w:val="FootnoteReference"/>
        </w:rPr>
        <w:footnoteRef/>
      </w:r>
      <w:r>
        <w:t xml:space="preserve"> </w:t>
      </w:r>
      <w:r w:rsidRPr="00B50F3D">
        <w:t>It is recommended to use registered mail in case the postmark would not be readable.</w:t>
      </w:r>
    </w:p>
    <w:p w14:paraId="74B30CB5" w14:textId="77777777" w:rsidR="000570D7" w:rsidRPr="000570D7" w:rsidRDefault="000570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1314" w14:textId="77777777" w:rsidR="00921CBA" w:rsidRDefault="00921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18D3" w14:textId="77777777" w:rsidR="00921CBA" w:rsidRDefault="00921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EAFA"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4"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6"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7"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19"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3"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4"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6"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7"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8"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9"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1"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5"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6"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8"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0"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3"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4"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5"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5"/>
  </w:num>
  <w:num w:numId="4">
    <w:abstractNumId w:val="6"/>
  </w:num>
  <w:num w:numId="5">
    <w:abstractNumId w:val="36"/>
  </w:num>
  <w:num w:numId="6">
    <w:abstractNumId w:val="10"/>
  </w:num>
  <w:num w:numId="7">
    <w:abstractNumId w:val="12"/>
  </w:num>
  <w:num w:numId="8">
    <w:abstractNumId w:val="9"/>
  </w:num>
  <w:num w:numId="9">
    <w:abstractNumId w:val="2"/>
  </w:num>
  <w:num w:numId="10">
    <w:abstractNumId w:val="25"/>
  </w:num>
  <w:num w:numId="11">
    <w:abstractNumId w:val="43"/>
  </w:num>
  <w:num w:numId="12">
    <w:abstractNumId w:val="15"/>
  </w:num>
  <w:num w:numId="13">
    <w:abstractNumId w:val="1"/>
  </w:num>
  <w:num w:numId="14">
    <w:abstractNumId w:val="11"/>
  </w:num>
  <w:num w:numId="15">
    <w:abstractNumId w:val="31"/>
  </w:num>
  <w:num w:numId="16">
    <w:abstractNumId w:val="4"/>
  </w:num>
  <w:num w:numId="17">
    <w:abstractNumId w:val="22"/>
  </w:num>
  <w:num w:numId="18">
    <w:abstractNumId w:val="23"/>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8"/>
  </w:num>
  <w:num w:numId="21">
    <w:abstractNumId w:val="26"/>
  </w:num>
  <w:num w:numId="22">
    <w:abstractNumId w:val="3"/>
  </w:num>
  <w:num w:numId="23">
    <w:abstractNumId w:val="38"/>
  </w:num>
  <w:num w:numId="24">
    <w:abstractNumId w:val="34"/>
  </w:num>
  <w:num w:numId="25">
    <w:abstractNumId w:val="14"/>
  </w:num>
  <w:num w:numId="26">
    <w:abstractNumId w:val="35"/>
  </w:num>
  <w:num w:numId="27">
    <w:abstractNumId w:val="16"/>
  </w:num>
  <w:num w:numId="28">
    <w:abstractNumId w:val="27"/>
  </w:num>
  <w:num w:numId="29">
    <w:abstractNumId w:val="17"/>
  </w:num>
  <w:num w:numId="30">
    <w:abstractNumId w:val="39"/>
  </w:num>
  <w:num w:numId="31">
    <w:abstractNumId w:val="18"/>
  </w:num>
  <w:num w:numId="32">
    <w:abstractNumId w:val="44"/>
  </w:num>
  <w:num w:numId="33">
    <w:abstractNumId w:val="32"/>
  </w:num>
  <w:num w:numId="34">
    <w:abstractNumId w:val="21"/>
  </w:num>
  <w:num w:numId="35">
    <w:abstractNumId w:val="20"/>
  </w:num>
  <w:num w:numId="36">
    <w:abstractNumId w:val="29"/>
  </w:num>
  <w:num w:numId="37">
    <w:abstractNumId w:val="33"/>
  </w:num>
  <w:num w:numId="38">
    <w:abstractNumId w:val="42"/>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0"/>
  </w:num>
  <w:num w:numId="41">
    <w:abstractNumId w:val="13"/>
  </w:num>
  <w:num w:numId="42">
    <w:abstractNumId w:val="24"/>
  </w:num>
  <w:num w:numId="43">
    <w:abstractNumId w:val="7"/>
  </w:num>
  <w:num w:numId="44">
    <w:abstractNumId w:val="41"/>
  </w:num>
  <w:num w:numId="45">
    <w:abstractNumId w:val="19"/>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550F2"/>
    <w:rsid w:val="00010683"/>
    <w:rsid w:val="0004095E"/>
    <w:rsid w:val="000544E6"/>
    <w:rsid w:val="000570D7"/>
    <w:rsid w:val="00057A21"/>
    <w:rsid w:val="000607F7"/>
    <w:rsid w:val="000626CB"/>
    <w:rsid w:val="00076EEC"/>
    <w:rsid w:val="0009029D"/>
    <w:rsid w:val="00090314"/>
    <w:rsid w:val="000913E8"/>
    <w:rsid w:val="000955FE"/>
    <w:rsid w:val="000A7073"/>
    <w:rsid w:val="000C5425"/>
    <w:rsid w:val="000D135C"/>
    <w:rsid w:val="000D183D"/>
    <w:rsid w:val="000D75D5"/>
    <w:rsid w:val="000F0B96"/>
    <w:rsid w:val="0010584D"/>
    <w:rsid w:val="00121005"/>
    <w:rsid w:val="0014136C"/>
    <w:rsid w:val="001449AE"/>
    <w:rsid w:val="00157CF6"/>
    <w:rsid w:val="001671BA"/>
    <w:rsid w:val="0017009E"/>
    <w:rsid w:val="00180127"/>
    <w:rsid w:val="001B1598"/>
    <w:rsid w:val="001B2CA6"/>
    <w:rsid w:val="001C0F8D"/>
    <w:rsid w:val="001D579A"/>
    <w:rsid w:val="001E5AB3"/>
    <w:rsid w:val="002157AA"/>
    <w:rsid w:val="00216E18"/>
    <w:rsid w:val="0021784A"/>
    <w:rsid w:val="0022643A"/>
    <w:rsid w:val="0023505C"/>
    <w:rsid w:val="00245C38"/>
    <w:rsid w:val="00250B09"/>
    <w:rsid w:val="00264E26"/>
    <w:rsid w:val="00273362"/>
    <w:rsid w:val="00290ACC"/>
    <w:rsid w:val="002921F7"/>
    <w:rsid w:val="00294800"/>
    <w:rsid w:val="002A1587"/>
    <w:rsid w:val="002B0E84"/>
    <w:rsid w:val="002B75E8"/>
    <w:rsid w:val="002C2852"/>
    <w:rsid w:val="002F6273"/>
    <w:rsid w:val="0030208E"/>
    <w:rsid w:val="003121C6"/>
    <w:rsid w:val="003436FE"/>
    <w:rsid w:val="0037753A"/>
    <w:rsid w:val="00381AB8"/>
    <w:rsid w:val="003924DF"/>
    <w:rsid w:val="003925C5"/>
    <w:rsid w:val="00396D4A"/>
    <w:rsid w:val="00397B28"/>
    <w:rsid w:val="003C5C2B"/>
    <w:rsid w:val="003C773B"/>
    <w:rsid w:val="003E309F"/>
    <w:rsid w:val="003E6551"/>
    <w:rsid w:val="003F2D75"/>
    <w:rsid w:val="003F4AB5"/>
    <w:rsid w:val="003F7035"/>
    <w:rsid w:val="00412107"/>
    <w:rsid w:val="00417586"/>
    <w:rsid w:val="00453651"/>
    <w:rsid w:val="004551A2"/>
    <w:rsid w:val="00463A51"/>
    <w:rsid w:val="0048664A"/>
    <w:rsid w:val="0048757D"/>
    <w:rsid w:val="00491B4A"/>
    <w:rsid w:val="00493F98"/>
    <w:rsid w:val="00495144"/>
    <w:rsid w:val="00496641"/>
    <w:rsid w:val="00497FEF"/>
    <w:rsid w:val="004A544F"/>
    <w:rsid w:val="004D0FE4"/>
    <w:rsid w:val="004D2399"/>
    <w:rsid w:val="004D7FC9"/>
    <w:rsid w:val="004E248D"/>
    <w:rsid w:val="004F088B"/>
    <w:rsid w:val="0050626C"/>
    <w:rsid w:val="005147FC"/>
    <w:rsid w:val="00517439"/>
    <w:rsid w:val="00526546"/>
    <w:rsid w:val="00543D27"/>
    <w:rsid w:val="00545A56"/>
    <w:rsid w:val="005510F3"/>
    <w:rsid w:val="0056210A"/>
    <w:rsid w:val="0056414B"/>
    <w:rsid w:val="00574DD1"/>
    <w:rsid w:val="00577681"/>
    <w:rsid w:val="00582292"/>
    <w:rsid w:val="0059570B"/>
    <w:rsid w:val="005B2947"/>
    <w:rsid w:val="005B54ED"/>
    <w:rsid w:val="005C1E9E"/>
    <w:rsid w:val="005C44AA"/>
    <w:rsid w:val="005D1583"/>
    <w:rsid w:val="005D2BA9"/>
    <w:rsid w:val="005D3D9E"/>
    <w:rsid w:val="005D6CCF"/>
    <w:rsid w:val="005F1DD5"/>
    <w:rsid w:val="0062173A"/>
    <w:rsid w:val="0062677E"/>
    <w:rsid w:val="00632671"/>
    <w:rsid w:val="006365A9"/>
    <w:rsid w:val="0068123D"/>
    <w:rsid w:val="00681768"/>
    <w:rsid w:val="00682D24"/>
    <w:rsid w:val="00687AA2"/>
    <w:rsid w:val="006A1537"/>
    <w:rsid w:val="006B0775"/>
    <w:rsid w:val="006F25A2"/>
    <w:rsid w:val="006F5D6C"/>
    <w:rsid w:val="006F6361"/>
    <w:rsid w:val="007078C5"/>
    <w:rsid w:val="00740B27"/>
    <w:rsid w:val="007639DA"/>
    <w:rsid w:val="00763C86"/>
    <w:rsid w:val="00775D25"/>
    <w:rsid w:val="007A0123"/>
    <w:rsid w:val="007B1D4B"/>
    <w:rsid w:val="007B7D7B"/>
    <w:rsid w:val="007E285C"/>
    <w:rsid w:val="007F760C"/>
    <w:rsid w:val="00804556"/>
    <w:rsid w:val="00805702"/>
    <w:rsid w:val="008100D6"/>
    <w:rsid w:val="0082031A"/>
    <w:rsid w:val="00835BD1"/>
    <w:rsid w:val="008422E3"/>
    <w:rsid w:val="00843423"/>
    <w:rsid w:val="008531BA"/>
    <w:rsid w:val="00855F72"/>
    <w:rsid w:val="0086089C"/>
    <w:rsid w:val="0086581B"/>
    <w:rsid w:val="00870B5F"/>
    <w:rsid w:val="00895B9A"/>
    <w:rsid w:val="008A2426"/>
    <w:rsid w:val="008E3D9F"/>
    <w:rsid w:val="008E5D9D"/>
    <w:rsid w:val="009021F5"/>
    <w:rsid w:val="009063CE"/>
    <w:rsid w:val="00917284"/>
    <w:rsid w:val="0092186A"/>
    <w:rsid w:val="00921CBA"/>
    <w:rsid w:val="00937074"/>
    <w:rsid w:val="009426BD"/>
    <w:rsid w:val="009436A4"/>
    <w:rsid w:val="00951A3B"/>
    <w:rsid w:val="00987220"/>
    <w:rsid w:val="00987C6C"/>
    <w:rsid w:val="00996707"/>
    <w:rsid w:val="009A733A"/>
    <w:rsid w:val="009B1C05"/>
    <w:rsid w:val="009B3FFF"/>
    <w:rsid w:val="009B605A"/>
    <w:rsid w:val="009C7BD6"/>
    <w:rsid w:val="009D164C"/>
    <w:rsid w:val="009D5E0F"/>
    <w:rsid w:val="009F5616"/>
    <w:rsid w:val="00A00C4C"/>
    <w:rsid w:val="00A02F0C"/>
    <w:rsid w:val="00A06BCE"/>
    <w:rsid w:val="00A165D1"/>
    <w:rsid w:val="00A33091"/>
    <w:rsid w:val="00A40B36"/>
    <w:rsid w:val="00A42171"/>
    <w:rsid w:val="00A6538D"/>
    <w:rsid w:val="00A72FB1"/>
    <w:rsid w:val="00A81096"/>
    <w:rsid w:val="00A82C40"/>
    <w:rsid w:val="00A90345"/>
    <w:rsid w:val="00A94AD3"/>
    <w:rsid w:val="00A94F07"/>
    <w:rsid w:val="00AA3043"/>
    <w:rsid w:val="00AB28DE"/>
    <w:rsid w:val="00AB326E"/>
    <w:rsid w:val="00AB5C71"/>
    <w:rsid w:val="00AB7549"/>
    <w:rsid w:val="00AC5E60"/>
    <w:rsid w:val="00B21495"/>
    <w:rsid w:val="00B215EE"/>
    <w:rsid w:val="00B218E3"/>
    <w:rsid w:val="00B2430B"/>
    <w:rsid w:val="00B36721"/>
    <w:rsid w:val="00B45C9F"/>
    <w:rsid w:val="00B5592A"/>
    <w:rsid w:val="00B806A1"/>
    <w:rsid w:val="00B860B0"/>
    <w:rsid w:val="00B9416D"/>
    <w:rsid w:val="00BB6C9D"/>
    <w:rsid w:val="00BC1214"/>
    <w:rsid w:val="00BC1D32"/>
    <w:rsid w:val="00BC7014"/>
    <w:rsid w:val="00BD5B00"/>
    <w:rsid w:val="00BE7CAF"/>
    <w:rsid w:val="00BF01CC"/>
    <w:rsid w:val="00BF0BD3"/>
    <w:rsid w:val="00C06F58"/>
    <w:rsid w:val="00C2286C"/>
    <w:rsid w:val="00C2541E"/>
    <w:rsid w:val="00C3216F"/>
    <w:rsid w:val="00C330E1"/>
    <w:rsid w:val="00C33368"/>
    <w:rsid w:val="00C372F3"/>
    <w:rsid w:val="00C40CD0"/>
    <w:rsid w:val="00C52D49"/>
    <w:rsid w:val="00C52EDE"/>
    <w:rsid w:val="00C53A7B"/>
    <w:rsid w:val="00C55903"/>
    <w:rsid w:val="00C91765"/>
    <w:rsid w:val="00C96392"/>
    <w:rsid w:val="00CB2D99"/>
    <w:rsid w:val="00CC396F"/>
    <w:rsid w:val="00CE5895"/>
    <w:rsid w:val="00CF2B5B"/>
    <w:rsid w:val="00D26233"/>
    <w:rsid w:val="00D32C37"/>
    <w:rsid w:val="00D4050F"/>
    <w:rsid w:val="00D44374"/>
    <w:rsid w:val="00D475F9"/>
    <w:rsid w:val="00D550F2"/>
    <w:rsid w:val="00D60D73"/>
    <w:rsid w:val="00D63250"/>
    <w:rsid w:val="00D86F6D"/>
    <w:rsid w:val="00DA7EF8"/>
    <w:rsid w:val="00DB3975"/>
    <w:rsid w:val="00DB4711"/>
    <w:rsid w:val="00DE1210"/>
    <w:rsid w:val="00DE5160"/>
    <w:rsid w:val="00E03510"/>
    <w:rsid w:val="00E13546"/>
    <w:rsid w:val="00E1767B"/>
    <w:rsid w:val="00E222AD"/>
    <w:rsid w:val="00E2244D"/>
    <w:rsid w:val="00E22E88"/>
    <w:rsid w:val="00E33957"/>
    <w:rsid w:val="00E46553"/>
    <w:rsid w:val="00E8191A"/>
    <w:rsid w:val="00E84A51"/>
    <w:rsid w:val="00EA439A"/>
    <w:rsid w:val="00EA6B94"/>
    <w:rsid w:val="00EA7FAC"/>
    <w:rsid w:val="00EC2853"/>
    <w:rsid w:val="00EC59C8"/>
    <w:rsid w:val="00ED0499"/>
    <w:rsid w:val="00ED09BF"/>
    <w:rsid w:val="00EE5A83"/>
    <w:rsid w:val="00EF069F"/>
    <w:rsid w:val="00EF67ED"/>
    <w:rsid w:val="00F11E9B"/>
    <w:rsid w:val="00F16667"/>
    <w:rsid w:val="00F21243"/>
    <w:rsid w:val="00F25A3C"/>
    <w:rsid w:val="00F53979"/>
    <w:rsid w:val="00F54298"/>
    <w:rsid w:val="00F7552A"/>
    <w:rsid w:val="00F80338"/>
    <w:rsid w:val="00F848DA"/>
    <w:rsid w:val="00FD15B8"/>
    <w:rsid w:val="00FD542C"/>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8913471"/>
  <w15:chartTrackingRefBased/>
  <w15:docId w15:val="{3A07B0FD-3172-A64D-AD18-04F6DF3D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D27"/>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autoRedefine/>
    <w:semiHidden/>
    <w:rsid w:val="00543D27"/>
    <w:pPr>
      <w:spacing w:after="60"/>
    </w:pPr>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c.europa.eu/europeaid/prag/document.do" TargetMode="External"/><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7089-B9E1-0844-9635-EA163EF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3411</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22347</CharactersWithSpaces>
  <SharedDoc>false</SharedDoc>
  <HLinks>
    <vt:vector size="18" baseType="variant">
      <vt:variant>
        <vt:i4>3670117</vt:i4>
      </vt:variant>
      <vt:variant>
        <vt:i4>15</vt:i4>
      </vt:variant>
      <vt:variant>
        <vt:i4>0</vt:i4>
      </vt:variant>
      <vt:variant>
        <vt:i4>5</vt:i4>
      </vt:variant>
      <vt:variant>
        <vt:lpwstr>http://ec.europa.eu/europeaid/prag/document.do</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Igor Nedelkovski</cp:lastModifiedBy>
  <cp:revision>8</cp:revision>
  <cp:lastPrinted>2012-09-25T14:41:00Z</cp:lastPrinted>
  <dcterms:created xsi:type="dcterms:W3CDTF">2018-08-30T04:35:00Z</dcterms:created>
  <dcterms:modified xsi:type="dcterms:W3CDTF">2018-08-31T05:53:00Z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